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8A49F" w14:textId="77777777" w:rsidR="00584948" w:rsidRDefault="00584948" w:rsidP="00584948">
      <w:pPr>
        <w:spacing w:before="0" w:after="0"/>
        <w:jc w:val="left"/>
        <w:rPr>
          <w:b/>
          <w:bCs/>
          <w:caps/>
          <w:kern w:val="28"/>
          <w:sz w:val="28"/>
          <w:szCs w:val="32"/>
        </w:rPr>
      </w:pPr>
    </w:p>
    <w:p w14:paraId="4D005DD9" w14:textId="371E75D9" w:rsidR="00584948" w:rsidRPr="00BA7A15" w:rsidRDefault="00BA7A15" w:rsidP="007F5D57">
      <w:pPr>
        <w:pStyle w:val="Authors"/>
      </w:pPr>
      <w:r w:rsidRPr="00F05E44">
        <w:rPr>
          <w:caps/>
          <w:kern w:val="28"/>
          <w:sz w:val="28"/>
        </w:rPr>
        <w:t>Impact of Mixed-Use Development on Land Values in Brisbane: A Hedonic Analysis</w:t>
      </w:r>
    </w:p>
    <w:p w14:paraId="236D57A1" w14:textId="0A1569F3" w:rsidR="00BA7A15" w:rsidRPr="0073237C" w:rsidRDefault="00BA7A15" w:rsidP="00BA7A15">
      <w:pPr>
        <w:pStyle w:val="Authors"/>
        <w:rPr>
          <w:vertAlign w:val="superscript"/>
        </w:rPr>
      </w:pPr>
      <w:r>
        <w:t>Maximilian Neuger</w:t>
      </w:r>
      <w:r w:rsidR="004662FC">
        <w:rPr>
          <w:vertAlign w:val="superscript"/>
        </w:rPr>
        <w:t>1</w:t>
      </w:r>
      <w:r>
        <w:t>, Johari Amar</w:t>
      </w:r>
      <w:r>
        <w:rPr>
          <w:vertAlign w:val="superscript"/>
        </w:rPr>
        <w:t>2</w:t>
      </w:r>
      <w:r>
        <w:t>, Andrea Blake</w:t>
      </w:r>
      <w:r>
        <w:rPr>
          <w:vertAlign w:val="superscript"/>
        </w:rPr>
        <w:t>1</w:t>
      </w:r>
      <w:r>
        <w:t>, and Connie Susilawati</w:t>
      </w:r>
      <w:r>
        <w:rPr>
          <w:vertAlign w:val="superscript"/>
        </w:rPr>
        <w:t>1</w:t>
      </w:r>
    </w:p>
    <w:p w14:paraId="426E300B" w14:textId="77777777" w:rsidR="00BA7A15" w:rsidRPr="0073237C" w:rsidRDefault="00BA7A15" w:rsidP="00BA7A15">
      <w:pPr>
        <w:pStyle w:val="Authors"/>
        <w:rPr>
          <w:sz w:val="28"/>
          <w:szCs w:val="36"/>
          <w:vertAlign w:val="superscript"/>
        </w:rPr>
      </w:pPr>
      <w:r>
        <w:t>Queensland University of Technology (QUT)</w:t>
      </w:r>
      <w:r>
        <w:rPr>
          <w:sz w:val="28"/>
          <w:szCs w:val="36"/>
          <w:vertAlign w:val="superscript"/>
        </w:rPr>
        <w:t>1</w:t>
      </w:r>
    </w:p>
    <w:p w14:paraId="1835F7A1" w14:textId="77777777" w:rsidR="00BA7A15" w:rsidRPr="0073237C" w:rsidRDefault="00BA7A15" w:rsidP="00BA7A15">
      <w:pPr>
        <w:pStyle w:val="Authors"/>
        <w:rPr>
          <w:vertAlign w:val="superscript"/>
        </w:rPr>
      </w:pPr>
      <w:r>
        <w:t>Bond University</w:t>
      </w:r>
      <w:r>
        <w:rPr>
          <w:vertAlign w:val="superscript"/>
        </w:rPr>
        <w:t>2</w:t>
      </w:r>
    </w:p>
    <w:p w14:paraId="1AD29ADE" w14:textId="77777777" w:rsidR="0009751C" w:rsidRDefault="0009751C" w:rsidP="008E12A6">
      <w:pPr>
        <w:pStyle w:val="Heading1"/>
      </w:pPr>
    </w:p>
    <w:p w14:paraId="1175A8FF" w14:textId="7A83514B" w:rsidR="008E12A6" w:rsidRDefault="008E12A6" w:rsidP="008E12A6">
      <w:pPr>
        <w:pStyle w:val="Heading1"/>
      </w:pPr>
      <w:r>
        <w:t>Abstr</w:t>
      </w:r>
      <w:r w:rsidRPr="00FC7D67">
        <w:t>act</w:t>
      </w:r>
      <w:r w:rsidR="00496F0D">
        <w:t xml:space="preserve"> </w:t>
      </w:r>
    </w:p>
    <w:p w14:paraId="703D6A0D" w14:textId="2633E760" w:rsidR="00F4726B" w:rsidRPr="0005361A" w:rsidRDefault="00F4726B" w:rsidP="00F4726B">
      <w:pPr>
        <w:pStyle w:val="Abstract"/>
        <w:rPr>
          <w:szCs w:val="22"/>
        </w:rPr>
      </w:pPr>
      <w:r w:rsidRPr="0009008C">
        <w:rPr>
          <w:szCs w:val="22"/>
        </w:rPr>
        <w:t xml:space="preserve">This study investigates the impact of mixed-use megaprojects </w:t>
      </w:r>
      <w:r w:rsidRPr="009A2461">
        <w:rPr>
          <w:color w:val="000000"/>
          <w:szCs w:val="22"/>
        </w:rPr>
        <w:t>on</w:t>
      </w:r>
      <w:r w:rsidRPr="0009008C">
        <w:rPr>
          <w:szCs w:val="22"/>
        </w:rPr>
        <w:t xml:space="preserve"> the surrounding unimproved land values in Brisbane, Queensland. </w:t>
      </w:r>
      <w:r w:rsidR="00E545DC" w:rsidRPr="009A2461">
        <w:rPr>
          <w:color w:val="000000"/>
          <w:szCs w:val="22"/>
        </w:rPr>
        <w:t>Using</w:t>
      </w:r>
      <w:r w:rsidR="00E545DC" w:rsidRPr="0009008C">
        <w:rPr>
          <w:szCs w:val="22"/>
        </w:rPr>
        <w:t xml:space="preserve"> a hedonic pricing model (HPM), we analysed the existence value of mixed-use development projects and their corresponding site values.</w:t>
      </w:r>
      <w:r w:rsidRPr="0009008C">
        <w:rPr>
          <w:szCs w:val="22"/>
        </w:rPr>
        <w:t xml:space="preserve"> </w:t>
      </w:r>
      <w:r w:rsidR="00211575" w:rsidRPr="0009008C">
        <w:rPr>
          <w:szCs w:val="22"/>
        </w:rPr>
        <w:t>HPM is</w:t>
      </w:r>
      <w:r w:rsidR="00211575">
        <w:rPr>
          <w:szCs w:val="22"/>
        </w:rPr>
        <w:t xml:space="preserve"> a</w:t>
      </w:r>
      <w:r w:rsidR="00211575" w:rsidRPr="0009008C">
        <w:rPr>
          <w:szCs w:val="22"/>
        </w:rPr>
        <w:t xml:space="preserve"> useful</w:t>
      </w:r>
      <w:r w:rsidR="00211575">
        <w:rPr>
          <w:szCs w:val="22"/>
        </w:rPr>
        <w:t xml:space="preserve"> approach</w:t>
      </w:r>
      <w:r w:rsidR="00211575" w:rsidRPr="0009008C">
        <w:rPr>
          <w:szCs w:val="22"/>
        </w:rPr>
        <w:t xml:space="preserve"> </w:t>
      </w:r>
      <w:r w:rsidR="00211575" w:rsidRPr="009A2461">
        <w:rPr>
          <w:color w:val="000000"/>
          <w:szCs w:val="22"/>
        </w:rPr>
        <w:t>for capturing</w:t>
      </w:r>
      <w:r w:rsidR="00211575" w:rsidRPr="0009008C">
        <w:rPr>
          <w:szCs w:val="22"/>
        </w:rPr>
        <w:t xml:space="preserve"> the intangible value of the unique nature of such projects.</w:t>
      </w:r>
      <w:r w:rsidRPr="0009008C">
        <w:rPr>
          <w:szCs w:val="22"/>
        </w:rPr>
        <w:t xml:space="preserve"> Our study employs a case study approach </w:t>
      </w:r>
      <w:r w:rsidRPr="009A2461">
        <w:rPr>
          <w:color w:val="000000"/>
          <w:szCs w:val="22"/>
        </w:rPr>
        <w:t>that focuses</w:t>
      </w:r>
      <w:r w:rsidRPr="0009008C">
        <w:rPr>
          <w:szCs w:val="22"/>
        </w:rPr>
        <w:t xml:space="preserve"> on the development of the Queen's Wharf in Brisbane. </w:t>
      </w:r>
      <w:r w:rsidR="00211575">
        <w:rPr>
          <w:szCs w:val="22"/>
        </w:rPr>
        <w:t>We drew concentric rings of the precinct radiating outwards using the QLD Globe to extract land values and shed light on their influence on site values by examining the spatial patterns of these developments</w:t>
      </w:r>
      <w:r w:rsidR="00211575" w:rsidRPr="0009008C">
        <w:rPr>
          <w:szCs w:val="22"/>
        </w:rPr>
        <w:t>.</w:t>
      </w:r>
      <w:r w:rsidRPr="0009008C">
        <w:rPr>
          <w:szCs w:val="22"/>
        </w:rPr>
        <w:t xml:space="preserve"> </w:t>
      </w:r>
      <w:r w:rsidR="00E545DC" w:rsidRPr="0009008C">
        <w:rPr>
          <w:szCs w:val="22"/>
        </w:rPr>
        <w:t>The findings of this study contribute to our understanding of property market dynamics in the presence of such projects.</w:t>
      </w:r>
      <w:r w:rsidRPr="0009008C">
        <w:rPr>
          <w:szCs w:val="22"/>
        </w:rPr>
        <w:t xml:space="preserve"> Practical implications arise from the potential financial returns to the state and inform policymakers interested in similar projects. </w:t>
      </w:r>
      <w:r w:rsidR="00E545DC" w:rsidRPr="009A2461">
        <w:rPr>
          <w:color w:val="000000"/>
          <w:szCs w:val="22"/>
        </w:rPr>
        <w:t>The</w:t>
      </w:r>
      <w:r w:rsidR="00E545DC" w:rsidRPr="0009008C">
        <w:rPr>
          <w:szCs w:val="22"/>
        </w:rPr>
        <w:t xml:space="preserve"> </w:t>
      </w:r>
      <w:r w:rsidR="00E545DC" w:rsidRPr="009A2461">
        <w:rPr>
          <w:color w:val="000000"/>
          <w:szCs w:val="22"/>
        </w:rPr>
        <w:t>insights gained from this study</w:t>
      </w:r>
      <w:r w:rsidR="00E545DC" w:rsidRPr="0009008C">
        <w:rPr>
          <w:szCs w:val="22"/>
        </w:rPr>
        <w:t xml:space="preserve"> can guide future planning and decision-making processes to enhance sustainable urban development.</w:t>
      </w:r>
    </w:p>
    <w:p w14:paraId="0E7FE9A6" w14:textId="77777777" w:rsidR="00655A83" w:rsidRDefault="00655A83" w:rsidP="00655A83">
      <w:pPr>
        <w:rPr>
          <w:szCs w:val="22"/>
        </w:rPr>
      </w:pPr>
      <w:r w:rsidRPr="0005361A">
        <w:rPr>
          <w:szCs w:val="22"/>
        </w:rPr>
        <w:t xml:space="preserve">Keywords: </w:t>
      </w:r>
      <w:r w:rsidRPr="009A2461">
        <w:rPr>
          <w:color w:val="000000"/>
          <w:szCs w:val="22"/>
        </w:rPr>
        <w:t>Mixed-use megaproject, hedonic pricing model, unimproved site values, increase in land value, urban regeneration</w:t>
      </w:r>
    </w:p>
    <w:p w14:paraId="20D85468" w14:textId="6690872D" w:rsidR="00F4726B" w:rsidRDefault="00F4726B" w:rsidP="00E87E05">
      <w:pPr>
        <w:pStyle w:val="ReferenceList"/>
      </w:pPr>
    </w:p>
    <w:p w14:paraId="27D750A4" w14:textId="77777777" w:rsidR="00F4726B" w:rsidRPr="006D4721" w:rsidRDefault="00F4726B" w:rsidP="00F4726B">
      <w:pPr>
        <w:pStyle w:val="Heading1"/>
        <w:jc w:val="both"/>
        <w:rPr>
          <w:rStyle w:val="c-pjlv"/>
        </w:rPr>
      </w:pPr>
      <w:r>
        <w:t>Introduction</w:t>
      </w:r>
    </w:p>
    <w:p w14:paraId="7F902625" w14:textId="77777777" w:rsidR="00F4726B" w:rsidRPr="00F4726B" w:rsidRDefault="00F4726B" w:rsidP="00F4726B">
      <w:pPr>
        <w:spacing w:before="0" w:after="0"/>
        <w:jc w:val="left"/>
        <w:rPr>
          <w:szCs w:val="22"/>
        </w:rPr>
      </w:pPr>
    </w:p>
    <w:p w14:paraId="1F37DD89" w14:textId="6490ECED" w:rsidR="00F4726B" w:rsidRPr="007F5D57" w:rsidRDefault="00E545DC" w:rsidP="007F5D57">
      <w:pPr>
        <w:spacing w:before="0" w:after="0"/>
        <w:rPr>
          <w:color w:val="000000" w:themeColor="text1"/>
          <w:szCs w:val="22"/>
        </w:rPr>
      </w:pPr>
      <w:r w:rsidRPr="007F5D57">
        <w:rPr>
          <w:color w:val="000000" w:themeColor="text1"/>
          <w:szCs w:val="22"/>
        </w:rPr>
        <w:t>Megaprojects are popular in many countries to spur economic growth, enhance urban competitiveness, and improve residents’ quality of life.</w:t>
      </w:r>
      <w:r w:rsidR="00F4726B" w:rsidRPr="007F5D57">
        <w:rPr>
          <w:color w:val="000000" w:themeColor="text1"/>
          <w:szCs w:val="22"/>
        </w:rPr>
        <w:t xml:space="preserve"> Benefits include job creation, higher taxes, better infrastructure, and the revitalisation of unused areas. </w:t>
      </w:r>
      <w:r w:rsidR="007B03ED">
        <w:rPr>
          <w:color w:val="000000" w:themeColor="text1"/>
          <w:szCs w:val="22"/>
        </w:rPr>
        <w:t xml:space="preserve"> </w:t>
      </w:r>
      <w:r w:rsidRPr="007F5D57">
        <w:rPr>
          <w:color w:val="000000" w:themeColor="text1"/>
          <w:szCs w:val="22"/>
        </w:rPr>
        <w:t xml:space="preserve">Megaprojects are large-scale, complex ventures involving multiple stakeholders and public-private partnerships that require substantial investments of over $1 billion </w:t>
      </w:r>
      <w:sdt>
        <w:sdtPr>
          <w:rPr>
            <w:color w:val="000000"/>
            <w:szCs w:val="22"/>
          </w:rPr>
          <w:tag w:val="MENDELEY_CITATION_v3_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"/>
          <w:id w:val="-2002416291"/>
          <w:placeholder>
            <w:docPart w:val="DefaultPlaceholder_-1854013440"/>
          </w:placeholder>
        </w:sdtPr>
        <w:sdtContent>
          <w:r w:rsidR="00607F6A" w:rsidRPr="00607F6A">
            <w:rPr>
              <w:color w:val="000000"/>
              <w:szCs w:val="22"/>
            </w:rPr>
            <w:t>(Flyvbjerg, 2014)</w:t>
          </w:r>
        </w:sdtContent>
      </w:sdt>
      <w:r w:rsidRPr="007F5D57">
        <w:rPr>
          <w:color w:val="000000" w:themeColor="text1"/>
          <w:szCs w:val="22"/>
        </w:rPr>
        <w:t>.</w:t>
      </w:r>
      <w:r w:rsidR="00F4726B" w:rsidRPr="007F5D57">
        <w:rPr>
          <w:color w:val="000000" w:themeColor="text1"/>
          <w:szCs w:val="22"/>
        </w:rPr>
        <w:t xml:space="preserve"> </w:t>
      </w:r>
      <w:r w:rsidR="00211575" w:rsidRPr="007F5D57">
        <w:rPr>
          <w:color w:val="000000" w:themeColor="text1"/>
          <w:szCs w:val="22"/>
        </w:rPr>
        <w:t xml:space="preserve">Megaprojects are complex and involve multiple stakeholders, complex organisational structures, and technical requirements </w:t>
      </w:r>
      <w:sdt>
        <w:sdtPr>
          <w:rPr>
            <w:color w:val="000000"/>
            <w:szCs w:val="22"/>
          </w:rPr>
          <w:tag w:val="MENDELEY_CITATION_v3_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"/>
          <w:id w:val="1203677838"/>
          <w:placeholder>
            <w:docPart w:val="5A17AB3EA23FA7458E28E61693BA09E7"/>
          </w:placeholder>
        </w:sdtPr>
        <w:sdtContent>
          <w:r w:rsidR="00607F6A" w:rsidRPr="00607F6A">
            <w:rPr>
              <w:color w:val="000000"/>
            </w:rPr>
            <w:t>(Pitsis et al., 2018a; Damayanti et al., 2021; Klingmann, 2022)</w:t>
          </w:r>
        </w:sdtContent>
      </w:sdt>
      <w:r w:rsidR="00211575" w:rsidRPr="007F5D57">
        <w:rPr>
          <w:color w:val="000000" w:themeColor="text1"/>
          <w:szCs w:val="22"/>
        </w:rPr>
        <w:t>.</w:t>
      </w:r>
      <w:r w:rsidR="00F4726B" w:rsidRPr="007F5D57">
        <w:rPr>
          <w:color w:val="000000" w:themeColor="text1"/>
          <w:szCs w:val="22"/>
        </w:rPr>
        <w:t xml:space="preserve"> </w:t>
      </w:r>
      <w:r w:rsidR="00211575" w:rsidRPr="007F5D57">
        <w:rPr>
          <w:color w:val="000000" w:themeColor="text1"/>
          <w:szCs w:val="22"/>
        </w:rPr>
        <w:t xml:space="preserve">They span infrastructure, energy, transportation, and urban development </w:t>
      </w:r>
      <w:sdt>
        <w:sdtPr>
          <w:rPr>
            <w:color w:val="000000"/>
            <w:szCs w:val="22"/>
          </w:rPr>
          <w:tag w:val="MENDELEY_CITATION_v3_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"/>
          <w:id w:val="1261725269"/>
          <w:placeholder>
            <w:docPart w:val="20880D32FE57E14182FEE8F59B853C04"/>
          </w:placeholder>
        </w:sdtPr>
        <w:sdtContent>
          <w:r w:rsidR="00607F6A" w:rsidRPr="00607F6A">
            <w:rPr>
              <w:color w:val="000000"/>
            </w:rPr>
            <w:t>(Pitsis et al. 2018b; Klingmann 2022)</w:t>
          </w:r>
        </w:sdtContent>
      </w:sdt>
      <w:r w:rsidR="00211575" w:rsidRPr="007F5D57">
        <w:rPr>
          <w:color w:val="000000" w:themeColor="text1"/>
          <w:szCs w:val="22"/>
        </w:rPr>
        <w:t>.</w:t>
      </w:r>
      <w:r w:rsidR="00655A83" w:rsidRPr="007F5D57">
        <w:rPr>
          <w:color w:val="000000" w:themeColor="text1"/>
          <w:szCs w:val="22"/>
        </w:rPr>
        <w:t xml:space="preserve"> </w:t>
      </w:r>
      <w:r w:rsidR="00C73E11" w:rsidRPr="007F5D57">
        <w:rPr>
          <w:noProof/>
          <w:color w:val="000000" w:themeColor="text1"/>
          <w:szCs w:val="22"/>
        </w:rPr>
        <w:t xml:space="preserve"> </w:t>
      </w:r>
      <w:r w:rsidRPr="007F5D57">
        <w:rPr>
          <w:color w:val="000000" w:themeColor="text1"/>
          <w:szCs w:val="22"/>
        </w:rPr>
        <w:t>The effects of mixed-use urban megaprojects on surrounding land values are complex and have been understudied in the academic literature.</w:t>
      </w:r>
      <w:r w:rsidR="00F4726B" w:rsidRPr="007F5D57">
        <w:rPr>
          <w:color w:val="000000" w:themeColor="text1"/>
          <w:szCs w:val="22"/>
        </w:rPr>
        <w:t xml:space="preserve"> </w:t>
      </w:r>
      <w:r w:rsidRPr="007F5D57">
        <w:rPr>
          <w:color w:val="000000" w:themeColor="text1"/>
          <w:szCs w:val="22"/>
        </w:rPr>
        <w:t>It remains unclear whether governments and public authorities can financially gain from the land value uplift that occurs around these development projects to offset the costs of investment and incentives provided.</w:t>
      </w:r>
    </w:p>
    <w:p w14:paraId="3D3A86A5" w14:textId="77777777" w:rsidR="00F4726B" w:rsidRPr="007F5D57" w:rsidRDefault="00F4726B" w:rsidP="007F5D57">
      <w:pPr>
        <w:spacing w:before="0" w:after="0"/>
        <w:rPr>
          <w:color w:val="000000" w:themeColor="text1"/>
          <w:szCs w:val="22"/>
        </w:rPr>
      </w:pPr>
    </w:p>
    <w:p w14:paraId="79D436A2" w14:textId="450D5B6C" w:rsidR="007B03ED" w:rsidRDefault="00E545DC">
      <w:pPr>
        <w:spacing w:before="0" w:after="0"/>
        <w:rPr>
          <w:color w:val="000000" w:themeColor="text1"/>
          <w:szCs w:val="22"/>
        </w:rPr>
      </w:pPr>
      <w:r w:rsidRPr="007F5D57">
        <w:rPr>
          <w:color w:val="000000" w:themeColor="text1"/>
          <w:szCs w:val="22"/>
        </w:rPr>
        <w:t>This study aims to quantitatively assess financial returns to the state from increased land values near large-scale mixed-use infrastructure megaprojects in urban areas.</w:t>
      </w:r>
      <w:r w:rsidR="00F4726B" w:rsidRPr="007F5D57">
        <w:rPr>
          <w:color w:val="000000" w:themeColor="text1"/>
          <w:szCs w:val="22"/>
        </w:rPr>
        <w:t xml:space="preserve"> </w:t>
      </w:r>
      <w:r w:rsidRPr="007F5D57">
        <w:rPr>
          <w:color w:val="000000" w:themeColor="text1"/>
          <w:szCs w:val="22"/>
        </w:rPr>
        <w:t>The goal was to evaluate whether significant returns were generated by public stakeholders.</w:t>
      </w:r>
      <w:r w:rsidR="00F809C7" w:rsidRPr="007F5D57">
        <w:rPr>
          <w:color w:val="000000" w:themeColor="text1"/>
          <w:szCs w:val="22"/>
        </w:rPr>
        <w:t xml:space="preserve"> </w:t>
      </w:r>
      <w:r w:rsidRPr="007F5D57">
        <w:rPr>
          <w:color w:val="000000" w:themeColor="text1"/>
          <w:szCs w:val="22"/>
        </w:rPr>
        <w:t>Mixed-use megaprojects are defined as large-scale urban development that integrates multiple functions, such as residential, commercial, retail, and recreation.</w:t>
      </w:r>
      <w:r w:rsidR="00F809C7" w:rsidRPr="007F5D57">
        <w:rPr>
          <w:color w:val="000000" w:themeColor="text1"/>
          <w:szCs w:val="22"/>
        </w:rPr>
        <w:t xml:space="preserve"> </w:t>
      </w:r>
      <w:r w:rsidRPr="007F5D57">
        <w:rPr>
          <w:color w:val="000000" w:themeColor="text1"/>
          <w:szCs w:val="22"/>
        </w:rPr>
        <w:t>Land value uplift refers to an increase in land value due to projects.</w:t>
      </w:r>
      <w:r w:rsidR="00F809C7" w:rsidRPr="007F5D57">
        <w:rPr>
          <w:color w:val="000000" w:themeColor="text1"/>
          <w:szCs w:val="22"/>
        </w:rPr>
        <w:t xml:space="preserve"> </w:t>
      </w:r>
      <w:r w:rsidRPr="007F5D57">
        <w:rPr>
          <w:color w:val="000000" w:themeColor="text1"/>
          <w:szCs w:val="22"/>
        </w:rPr>
        <w:t>As such, we can postulate the following research question: What are the measurable financial returns to the state from promoting mixed-use megaprojects in an urban context, as determined by surrounding land value appreciation?</w:t>
      </w:r>
      <w:r w:rsidR="00F809C7" w:rsidRPr="007F5D57">
        <w:rPr>
          <w:color w:val="000000" w:themeColor="text1"/>
          <w:szCs w:val="22"/>
        </w:rPr>
        <w:t xml:space="preserve"> </w:t>
      </w:r>
      <w:r w:rsidRPr="007F5D57">
        <w:rPr>
          <w:color w:val="000000" w:themeColor="text1"/>
          <w:szCs w:val="22"/>
        </w:rPr>
        <w:t>We test the hypothesis that state profits from land value increase due to mixed-use megaprojects.</w:t>
      </w:r>
      <w:r w:rsidR="00655A83" w:rsidRPr="007F5D57">
        <w:rPr>
          <w:color w:val="000000" w:themeColor="text1"/>
          <w:szCs w:val="22"/>
        </w:rPr>
        <w:t xml:space="preserve"> </w:t>
      </w:r>
      <w:r w:rsidR="00F809C7" w:rsidRPr="007F5D57">
        <w:rPr>
          <w:color w:val="000000" w:themeColor="text1"/>
          <w:szCs w:val="22"/>
        </w:rPr>
        <w:t xml:space="preserve">This </w:t>
      </w:r>
      <w:r w:rsidRPr="007F5D57">
        <w:rPr>
          <w:color w:val="000000" w:themeColor="text1"/>
          <w:szCs w:val="22"/>
        </w:rPr>
        <w:t>study</w:t>
      </w:r>
      <w:r w:rsidR="00F809C7" w:rsidRPr="007F5D57">
        <w:rPr>
          <w:color w:val="000000" w:themeColor="text1"/>
          <w:szCs w:val="22"/>
        </w:rPr>
        <w:t xml:space="preserve"> analyses a Brisbane mixed-use </w:t>
      </w:r>
      <w:r w:rsidR="00F809C7" w:rsidRPr="007F5D57">
        <w:rPr>
          <w:color w:val="000000" w:themeColor="text1"/>
          <w:szCs w:val="22"/>
        </w:rPr>
        <w:lastRenderedPageBreak/>
        <w:t>megaproject</w:t>
      </w:r>
      <w:r w:rsidRPr="007F5D57">
        <w:rPr>
          <w:color w:val="000000" w:themeColor="text1"/>
          <w:szCs w:val="22"/>
        </w:rPr>
        <w:t xml:space="preserve"> by</w:t>
      </w:r>
      <w:r w:rsidR="00F809C7" w:rsidRPr="007F5D57">
        <w:rPr>
          <w:color w:val="000000" w:themeColor="text1"/>
          <w:szCs w:val="22"/>
        </w:rPr>
        <w:t xml:space="preserve"> using a hedonic pricing model to estimate land value changes. </w:t>
      </w:r>
      <w:r w:rsidRPr="007F5D57">
        <w:rPr>
          <w:color w:val="000000" w:themeColor="text1"/>
          <w:szCs w:val="22"/>
        </w:rPr>
        <w:t>The results are discussed in terms of the policy implications, limitations, and directions for future research.</w:t>
      </w:r>
    </w:p>
    <w:p w14:paraId="4AC0D664" w14:textId="2026C899" w:rsidR="00F809C7" w:rsidRDefault="00F809C7" w:rsidP="005C5C7C">
      <w:pPr>
        <w:rPr>
          <w:color w:val="000000" w:themeColor="text1"/>
          <w:szCs w:val="22"/>
          <w:shd w:val="clear" w:color="auto" w:fill="FFFFFF"/>
        </w:rPr>
      </w:pPr>
      <w:r w:rsidRPr="007F5D57">
        <w:rPr>
          <w:color w:val="000000" w:themeColor="text1"/>
          <w:szCs w:val="22"/>
          <w:shd w:val="clear" w:color="auto" w:fill="FFFFFF"/>
        </w:rPr>
        <w:t xml:space="preserve">QWB is an AUD$3.6 billion mixed-use project in Brisbane. It features high-end retail, a 6-star casino, a hotel, residences, and public recreational space </w:t>
      </w:r>
      <w:sdt>
        <w:sdtPr>
          <w:rPr>
            <w:color w:val="000000"/>
            <w:szCs w:val="22"/>
            <w:shd w:val="clear" w:color="auto" w:fill="FFFFFF"/>
          </w:rPr>
          <w:tag w:val="MENDELEY_CITATION_v3_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"/>
          <w:id w:val="962237234"/>
          <w:placeholder>
            <w:docPart w:val="DefaultPlaceholder_-1854013440"/>
          </w:placeholder>
        </w:sdtPr>
        <w:sdtContent>
          <w:r w:rsidR="00607F6A" w:rsidRPr="00607F6A">
            <w:rPr>
              <w:color w:val="000000"/>
              <w:szCs w:val="22"/>
              <w:shd w:val="clear" w:color="auto" w:fill="FFFFFF"/>
            </w:rPr>
            <w:t>(Slaughter, 2016)</w:t>
          </w:r>
        </w:sdtContent>
      </w:sdt>
      <w:r w:rsidRPr="007F5D57">
        <w:rPr>
          <w:color w:val="000000" w:themeColor="text1"/>
          <w:szCs w:val="22"/>
          <w:shd w:val="clear" w:color="auto" w:fill="FFFFFF"/>
        </w:rPr>
        <w:t xml:space="preserve">. QWB is located in the old government precinct on the North Bank of the Brisbane River. </w:t>
      </w:r>
      <w:r w:rsidR="00E545DC" w:rsidRPr="007F5D57">
        <w:rPr>
          <w:color w:val="000000" w:themeColor="text1"/>
          <w:szCs w:val="22"/>
          <w:shd w:val="clear" w:color="auto" w:fill="FFFFFF"/>
        </w:rPr>
        <w:t>The precinct transforms a previously neglected area of the CBD into retail, residential, and leisure facilities in repurposed heritage buildings.</w:t>
      </w:r>
      <w:r w:rsidRPr="007F5D57">
        <w:rPr>
          <w:color w:val="000000" w:themeColor="text1"/>
          <w:szCs w:val="22"/>
          <w:shd w:val="clear" w:color="auto" w:fill="FFFFFF"/>
        </w:rPr>
        <w:t xml:space="preserve"> A pedestrian bridge was linked to the South Bank to improve public access and mobility. </w:t>
      </w:r>
      <w:r w:rsidR="00211575" w:rsidRPr="007F5D57">
        <w:rPr>
          <w:color w:val="000000" w:themeColor="text1"/>
          <w:szCs w:val="22"/>
          <w:shd w:val="clear" w:color="auto" w:fill="FFFFFF"/>
        </w:rPr>
        <w:t>The project is being built and is expected to finish in late 2024 (see Figure 3 in the Appendix).</w:t>
      </w:r>
    </w:p>
    <w:p w14:paraId="784FC61D" w14:textId="535009EB" w:rsidR="007B03ED" w:rsidRPr="0064752C" w:rsidRDefault="007B03ED" w:rsidP="007F5D57">
      <w:pPr>
        <w:spacing w:before="0" w:after="0"/>
        <w:rPr>
          <w:color w:val="000000" w:themeColor="text1"/>
          <w:szCs w:val="22"/>
        </w:rPr>
      </w:pPr>
      <w:r w:rsidRPr="0064752C">
        <w:rPr>
          <w:color w:val="000000" w:themeColor="text1"/>
          <w:szCs w:val="22"/>
        </w:rPr>
        <w:t>Brisbane is the host of the 2032 Olympic Games, accelerating major urban redevelopment project across the city from mixed use to building and infrastructure. With an annual population growth of 2.3% for 2023, Brisbane experienced the largest influx of new residents out of each capital cities in</w:t>
      </w:r>
      <w:r w:rsidR="00D9079A">
        <w:rPr>
          <w:color w:val="000000" w:themeColor="text1"/>
          <w:szCs w:val="22"/>
        </w:rPr>
        <w:t xml:space="preserve"> </w:t>
      </w:r>
      <w:r w:rsidRPr="00E63776">
        <w:rPr>
          <w:color w:val="000000" w:themeColor="text1"/>
          <w:szCs w:val="22"/>
        </w:rPr>
        <w:t>Australia</w:t>
      </w:r>
      <w:r w:rsidRPr="0064752C">
        <w:rPr>
          <w:color w:val="FF0000"/>
          <w:szCs w:val="22"/>
        </w:rPr>
        <w:t xml:space="preserve"> </w:t>
      </w:r>
      <w:sdt>
        <w:sdtPr>
          <w:rPr>
            <w:color w:val="000000"/>
            <w:szCs w:val="22"/>
          </w:rPr>
          <w:tag w:val="MENDELEY_CITATION_v3_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"/>
          <w:id w:val="-534974527"/>
          <w:placeholder>
            <w:docPart w:val="B2A2A1138F8BCC47BD07BAE251CAF7D8"/>
          </w:placeholder>
        </w:sdtPr>
        <w:sdtContent>
          <w:r w:rsidR="00607F6A" w:rsidRPr="00607F6A">
            <w:rPr>
              <w:color w:val="000000"/>
              <w:szCs w:val="22"/>
            </w:rPr>
            <w:t>(Australian Bureau of Statistics, 2023)</w:t>
          </w:r>
        </w:sdtContent>
      </w:sdt>
      <w:r w:rsidR="00941A96">
        <w:rPr>
          <w:color w:val="000000"/>
          <w:szCs w:val="22"/>
        </w:rPr>
        <w:t xml:space="preserve">. </w:t>
      </w:r>
      <w:r w:rsidRPr="0064752C">
        <w:rPr>
          <w:color w:val="000000" w:themeColor="text1"/>
          <w:szCs w:val="22"/>
        </w:rPr>
        <w:t xml:space="preserve">These factors exacerbate pressure on the </w:t>
      </w:r>
      <w:r w:rsidR="002300EB" w:rsidRPr="0064752C">
        <w:rPr>
          <w:color w:val="000000" w:themeColor="text1"/>
          <w:szCs w:val="22"/>
        </w:rPr>
        <w:t>city’s-built</w:t>
      </w:r>
      <w:r w:rsidRPr="0064752C">
        <w:rPr>
          <w:color w:val="000000" w:themeColor="text1"/>
          <w:szCs w:val="22"/>
        </w:rPr>
        <w:t xml:space="preserve"> environment, while urban expansion faces geographical constraints,</w:t>
      </w:r>
      <w:r w:rsidR="00C5279D">
        <w:rPr>
          <w:color w:val="000000" w:themeColor="text1"/>
          <w:szCs w:val="22"/>
        </w:rPr>
        <w:t xml:space="preserve"> such as the topography of the urban footprint within the</w:t>
      </w:r>
      <w:r w:rsidR="0094372D">
        <w:rPr>
          <w:color w:val="000000" w:themeColor="text1"/>
          <w:szCs w:val="22"/>
        </w:rPr>
        <w:t xml:space="preserve"> floodplain</w:t>
      </w:r>
      <w:r w:rsidR="00304A55">
        <w:rPr>
          <w:color w:val="000000" w:themeColor="text1"/>
          <w:szCs w:val="22"/>
        </w:rPr>
        <w:t xml:space="preserve"> of the</w:t>
      </w:r>
      <w:r w:rsidR="00C5279D">
        <w:rPr>
          <w:color w:val="000000" w:themeColor="text1"/>
          <w:szCs w:val="22"/>
        </w:rPr>
        <w:t xml:space="preserve"> Brisbane River. </w:t>
      </w:r>
      <w:r w:rsidRPr="0064752C">
        <w:rPr>
          <w:color w:val="000000" w:themeColor="text1"/>
          <w:szCs w:val="22"/>
        </w:rPr>
        <w:t xml:space="preserve"> </w:t>
      </w:r>
    </w:p>
    <w:p w14:paraId="35BE86F3" w14:textId="7AC2787D" w:rsidR="00F809C7" w:rsidRDefault="00E545DC" w:rsidP="005C5C7C">
      <w:pPr>
        <w:rPr>
          <w:color w:val="000000" w:themeColor="text1"/>
          <w:szCs w:val="22"/>
        </w:rPr>
      </w:pPr>
      <w:r w:rsidRPr="007F5D57">
        <w:rPr>
          <w:color w:val="000000" w:themeColor="text1"/>
          <w:szCs w:val="22"/>
        </w:rPr>
        <w:t>This study provides data-driven insight into the economic outcomes of mixed-use megaprojects.</w:t>
      </w:r>
      <w:r w:rsidR="00F4726B" w:rsidRPr="007F5D57">
        <w:rPr>
          <w:color w:val="000000" w:themeColor="text1"/>
          <w:szCs w:val="22"/>
        </w:rPr>
        <w:t xml:space="preserve"> </w:t>
      </w:r>
      <w:r w:rsidRPr="007F5D57">
        <w:rPr>
          <w:color w:val="000000" w:themeColor="text1"/>
          <w:szCs w:val="22"/>
        </w:rPr>
        <w:t>The findings can inform policymakers and planners when evaluating proposed large-scale developments and crafting strategies to optimise returns.</w:t>
      </w:r>
      <w:r w:rsidR="00F4726B" w:rsidRPr="007F5D57">
        <w:rPr>
          <w:color w:val="000000" w:themeColor="text1"/>
          <w:szCs w:val="22"/>
        </w:rPr>
        <w:t xml:space="preserve"> </w:t>
      </w:r>
      <w:r w:rsidRPr="007F5D57">
        <w:rPr>
          <w:color w:val="000000" w:themeColor="text1"/>
          <w:szCs w:val="22"/>
        </w:rPr>
        <w:t>This research also contributes to the academic literature on property market dynamics influenced by megaprojects.</w:t>
      </w:r>
      <w:r w:rsidR="00F809C7" w:rsidRPr="007F5D57">
        <w:rPr>
          <w:color w:val="000000" w:themeColor="text1"/>
          <w:szCs w:val="22"/>
        </w:rPr>
        <w:t xml:space="preserve"> </w:t>
      </w:r>
      <w:r w:rsidRPr="007F5D57">
        <w:rPr>
          <w:color w:val="000000" w:themeColor="text1"/>
          <w:szCs w:val="22"/>
        </w:rPr>
        <w:t>This study will help comprehend the dynamics of property markets with such projects and provide policy and urban planning implications.</w:t>
      </w:r>
    </w:p>
    <w:p w14:paraId="2D8DD151" w14:textId="77777777" w:rsidR="004E0CF2" w:rsidRDefault="004E0CF2" w:rsidP="00F809C7">
      <w:pPr>
        <w:rPr>
          <w:szCs w:val="22"/>
        </w:rPr>
      </w:pPr>
    </w:p>
    <w:p w14:paraId="488848F5" w14:textId="77777777" w:rsidR="004E0CF2" w:rsidRDefault="004E0CF2" w:rsidP="004E0CF2">
      <w:pPr>
        <w:pStyle w:val="Heading1"/>
        <w:jc w:val="both"/>
      </w:pPr>
      <w:r>
        <w:t>Related Literature</w:t>
      </w:r>
    </w:p>
    <w:p w14:paraId="73350965" w14:textId="6B025B62" w:rsidR="00236DD5" w:rsidRPr="00CD3F5A" w:rsidRDefault="00236DD5" w:rsidP="004E0CF2">
      <w:pPr>
        <w:rPr>
          <w:szCs w:val="22"/>
        </w:rPr>
      </w:pPr>
      <w:r w:rsidRPr="00CD3F5A">
        <w:rPr>
          <w:szCs w:val="22"/>
        </w:rPr>
        <w:t xml:space="preserve">Mixed-use megaprojects integrate residential, commercial, retail, recreational, and other uses into one development site </w:t>
      </w:r>
      <w:sdt>
        <w:sdtPr>
          <w:rPr>
            <w:color w:val="000000"/>
            <w:szCs w:val="22"/>
          </w:rPr>
          <w:tag w:val="MENDELEY_CITATION_v3_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"/>
          <w:id w:val="-2055541704"/>
          <w:placeholder>
            <w:docPart w:val="DefaultPlaceholder_-1854013440"/>
          </w:placeholder>
        </w:sdtPr>
        <w:sdtContent>
          <w:r w:rsidR="00607F6A" w:rsidRPr="00607F6A">
            <w:rPr>
              <w:color w:val="000000"/>
              <w:szCs w:val="22"/>
            </w:rPr>
            <w:t>(Harris, 2016)</w:t>
          </w:r>
        </w:sdtContent>
      </w:sdt>
      <w:r w:rsidRPr="00CD3F5A">
        <w:rPr>
          <w:szCs w:val="22"/>
        </w:rPr>
        <w:t xml:space="preserve">. </w:t>
      </w:r>
      <w:r w:rsidR="00211575" w:rsidRPr="00CD3F5A">
        <w:rPr>
          <w:szCs w:val="22"/>
        </w:rPr>
        <w:t xml:space="preserve">By contrast, urban megaprojects encompass a diverse range of large-scale projects and do not need to incorporate mixed uses </w:t>
      </w:r>
      <w:sdt>
        <w:sdtPr>
          <w:rPr>
            <w:color w:val="000000"/>
            <w:szCs w:val="22"/>
          </w:rPr>
          <w:tag w:val="MENDELEY_CITATION_v3_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"/>
          <w:id w:val="-483166929"/>
          <w:placeholder>
            <w:docPart w:val="DC339C08FCE4994D8767F865211C88A3"/>
          </w:placeholder>
        </w:sdtPr>
        <w:sdtContent>
          <w:r w:rsidR="00607F6A" w:rsidRPr="00607F6A">
            <w:rPr>
              <w:color w:val="000000"/>
              <w:szCs w:val="22"/>
            </w:rPr>
            <w:t>(Swyngedouw et al., 2002)</w:t>
          </w:r>
        </w:sdtContent>
      </w:sdt>
      <w:r w:rsidR="00211575" w:rsidRPr="00CD3F5A">
        <w:rPr>
          <w:szCs w:val="22"/>
        </w:rPr>
        <w:t>.</w:t>
      </w:r>
      <w:r w:rsidRPr="00CD3F5A">
        <w:rPr>
          <w:szCs w:val="22"/>
        </w:rPr>
        <w:t xml:space="preserve"> </w:t>
      </w:r>
    </w:p>
    <w:p w14:paraId="4DF5A04F" w14:textId="568BD165" w:rsidR="004E0CF2" w:rsidRPr="007F5D57" w:rsidRDefault="00E545DC" w:rsidP="004E0CF2">
      <w:pPr>
        <w:rPr>
          <w:color w:val="000000" w:themeColor="text1"/>
          <w:szCs w:val="22"/>
        </w:rPr>
      </w:pPr>
      <w:r w:rsidRPr="00CD3F5A">
        <w:rPr>
          <w:szCs w:val="22"/>
        </w:rPr>
        <w:t>A body of research has examined urban megaprojects and their varied impacts.</w:t>
      </w:r>
      <w:r w:rsidR="004E0CF2" w:rsidRPr="00CD3F5A">
        <w:rPr>
          <w:szCs w:val="22"/>
        </w:rPr>
        <w:t xml:space="preserve"> </w:t>
      </w:r>
      <w:r w:rsidR="00211575" w:rsidRPr="00CD3F5A">
        <w:rPr>
          <w:szCs w:val="22"/>
        </w:rPr>
        <w:t xml:space="preserve">Urban megaprojects are complex ventures implemented globally to drive economic growth and urban development </w:t>
      </w:r>
      <w:sdt>
        <w:sdtPr>
          <w:rPr>
            <w:color w:val="000000"/>
            <w:szCs w:val="22"/>
          </w:rPr>
          <w:tag w:val="MENDELEY_CITATION_v3_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"/>
          <w:id w:val="-852333952"/>
          <w:placeholder>
            <w:docPart w:val="CEF03497064CD3459EA72384311455D6"/>
          </w:placeholder>
        </w:sdtPr>
        <w:sdtContent>
          <w:r w:rsidR="00607F6A" w:rsidRPr="00607F6A">
            <w:rPr>
              <w:color w:val="000000"/>
              <w:szCs w:val="22"/>
            </w:rPr>
            <w:t>(Flyvbjerg 2014; Santamaría 2019)</w:t>
          </w:r>
        </w:sdtContent>
      </w:sdt>
      <w:r w:rsidR="00211575" w:rsidRPr="00CD3F5A">
        <w:rPr>
          <w:szCs w:val="22"/>
        </w:rPr>
        <w:t>.</w:t>
      </w:r>
      <w:r w:rsidR="004E0CF2" w:rsidRPr="00CD3F5A">
        <w:rPr>
          <w:szCs w:val="22"/>
        </w:rPr>
        <w:t xml:space="preserve"> </w:t>
      </w:r>
      <w:r w:rsidR="00211575" w:rsidRPr="00CD3F5A">
        <w:rPr>
          <w:szCs w:val="22"/>
        </w:rPr>
        <w:t xml:space="preserve">The proposed benefits include increased tax revenue, employment, tourism spending, and </w:t>
      </w:r>
      <w:r w:rsidR="00211575" w:rsidRPr="007F5D57">
        <w:rPr>
          <w:color w:val="000000" w:themeColor="text1"/>
          <w:szCs w:val="22"/>
        </w:rPr>
        <w:t xml:space="preserve">private investments </w:t>
      </w:r>
      <w:sdt>
        <w:sdtPr>
          <w:rPr>
            <w:color w:val="000000"/>
            <w:szCs w:val="22"/>
          </w:rPr>
          <w:tag w:val="MENDELEY_CITATION_v3_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"/>
          <w:id w:val="-2009824138"/>
          <w:placeholder>
            <w:docPart w:val="D8B2C203FB81744B92C6E26F6525105F"/>
          </w:placeholder>
        </w:sdtPr>
        <w:sdtContent>
          <w:r w:rsidR="00607F6A" w:rsidRPr="00607F6A">
            <w:rPr>
              <w:color w:val="000000"/>
              <w:szCs w:val="22"/>
            </w:rPr>
            <w:t>(Mevada and Devkar, 2017; Hübscher, 2019)</w:t>
          </w:r>
        </w:sdtContent>
      </w:sdt>
      <w:r w:rsidR="00211575" w:rsidRPr="007F5D57">
        <w:rPr>
          <w:color w:val="000000" w:themeColor="text1"/>
          <w:szCs w:val="22"/>
        </w:rPr>
        <w:t>.</w:t>
      </w:r>
      <w:r w:rsidR="004E0CF2" w:rsidRPr="007F5D57">
        <w:rPr>
          <w:color w:val="000000" w:themeColor="text1"/>
          <w:szCs w:val="22"/>
        </w:rPr>
        <w:t xml:space="preserve"> </w:t>
      </w:r>
    </w:p>
    <w:p w14:paraId="1B521431" w14:textId="4C425469" w:rsidR="000E4D51" w:rsidRPr="007F5D57" w:rsidRDefault="00211575" w:rsidP="000E4D51">
      <w:pPr>
        <w:pStyle w:val="NormalWeb"/>
        <w:jc w:val="both"/>
        <w:rPr>
          <w:color w:val="000000" w:themeColor="text1"/>
          <w:sz w:val="22"/>
          <w:szCs w:val="22"/>
          <w:shd w:val="clear" w:color="auto" w:fill="FFFFFF"/>
          <w:lang w:eastAsia="en-AU"/>
        </w:rPr>
      </w:pPr>
      <w:r w:rsidRPr="007F5D57">
        <w:rPr>
          <w:color w:val="000000" w:themeColor="text1"/>
          <w:sz w:val="22"/>
          <w:szCs w:val="22"/>
          <w:shd w:val="clear" w:color="auto" w:fill="FFFFFF"/>
        </w:rPr>
        <w:t>One financial benefit of promoting urban megaprojects is the potential to increase revenue.</w:t>
      </w:r>
      <w:r w:rsidR="000E4D51" w:rsidRPr="007F5D57">
        <w:rPr>
          <w:color w:val="000000" w:themeColor="text1"/>
          <w:sz w:val="22"/>
          <w:szCs w:val="22"/>
          <w:shd w:val="clear" w:color="auto" w:fill="FFFFFF"/>
          <w:lang w:eastAsia="en-AU"/>
        </w:rPr>
        <w:t xml:space="preserve"> </w:t>
      </w:r>
      <w:r w:rsidRPr="007F5D57">
        <w:rPr>
          <w:color w:val="000000" w:themeColor="text1"/>
          <w:sz w:val="22"/>
          <w:szCs w:val="22"/>
          <w:shd w:val="clear" w:color="auto" w:fill="FFFFFF"/>
        </w:rPr>
        <w:t>Megaprojects often attract large numbers of tourists and visitors, leading to increased spending on accommodation, dining, entertainment, and retail.</w:t>
      </w:r>
      <w:r w:rsidR="000E4D51" w:rsidRPr="007F5D57">
        <w:rPr>
          <w:color w:val="000000" w:themeColor="text1"/>
          <w:sz w:val="22"/>
          <w:szCs w:val="22"/>
          <w:shd w:val="clear" w:color="auto" w:fill="FFFFFF"/>
          <w:lang w:eastAsia="en-AU"/>
        </w:rPr>
        <w:t xml:space="preserve"> </w:t>
      </w:r>
      <w:r w:rsidRPr="007F5D57">
        <w:rPr>
          <w:color w:val="000000" w:themeColor="text1"/>
          <w:sz w:val="22"/>
          <w:szCs w:val="22"/>
          <w:shd w:val="clear" w:color="auto" w:fill="FFFFFF"/>
        </w:rPr>
        <w:t xml:space="preserve">This influx of tourism can generate significant revenue for local businesses and the government through taxes and fees </w:t>
      </w:r>
      <w:sdt>
        <w:sdtPr>
          <w:rPr>
            <w:color w:val="000000"/>
            <w:sz w:val="22"/>
            <w:szCs w:val="22"/>
            <w:shd w:val="clear" w:color="auto" w:fill="FFFFFF"/>
          </w:rPr>
          <w:tag w:val="MENDELEY_CITATION_v3_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"/>
          <w:id w:val="-2060856334"/>
          <w:placeholder>
            <w:docPart w:val="52D24D6A2834994AA4EF240A8FEC500D"/>
          </w:placeholder>
        </w:sdtPr>
        <w:sdtContent>
          <w:r w:rsidR="00607F6A" w:rsidRPr="00607F6A">
            <w:rPr>
              <w:color w:val="000000"/>
              <w:sz w:val="22"/>
              <w:szCs w:val="22"/>
              <w:shd w:val="clear" w:color="auto" w:fill="FFFFFF"/>
            </w:rPr>
            <w:t>(Hübscher 2019)</w:t>
          </w:r>
        </w:sdtContent>
      </w:sdt>
      <w:r w:rsidRPr="007F5D57">
        <w:rPr>
          <w:color w:val="000000" w:themeColor="text1"/>
          <w:sz w:val="22"/>
          <w:szCs w:val="22"/>
          <w:shd w:val="clear" w:color="auto" w:fill="FFFFFF"/>
        </w:rPr>
        <w:t>.</w:t>
      </w:r>
      <w:r w:rsidR="000E4D51" w:rsidRPr="007F5D57">
        <w:rPr>
          <w:color w:val="000000" w:themeColor="text1"/>
          <w:sz w:val="22"/>
          <w:szCs w:val="22"/>
          <w:shd w:val="clear" w:color="auto" w:fill="FFFFFF"/>
          <w:lang w:eastAsia="en-AU"/>
        </w:rPr>
        <w:t xml:space="preserve"> </w:t>
      </w:r>
      <w:r w:rsidRPr="007F5D57">
        <w:rPr>
          <w:color w:val="000000" w:themeColor="text1"/>
          <w:sz w:val="22"/>
          <w:szCs w:val="22"/>
          <w:shd w:val="clear" w:color="auto" w:fill="FFFFFF"/>
        </w:rPr>
        <w:t>Megaprojects can stimulate economic growth by attracting new businesses and industries to the area, further contributing to increased revenue for public authorities</w:t>
      </w:r>
      <w:sdt>
        <w:sdtPr>
          <w:rPr>
            <w:color w:val="000000"/>
            <w:sz w:val="22"/>
            <w:szCs w:val="22"/>
            <w:shd w:val="clear" w:color="auto" w:fill="FFFFFF"/>
          </w:rPr>
          <w:tag w:val="MENDELEY_CITATION_v3_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"/>
          <w:id w:val="-930583661"/>
          <w:placeholder>
            <w:docPart w:val="D51F94C2FDB1BF4296EBC4CD1293F8A0"/>
          </w:placeholder>
        </w:sdtPr>
        <w:sdtContent>
          <w:r w:rsidR="00607F6A" w:rsidRPr="00607F6A">
            <w:rPr>
              <w:color w:val="000000"/>
              <w:sz w:val="22"/>
              <w:szCs w:val="22"/>
              <w:shd w:val="clear" w:color="auto" w:fill="FFFFFF"/>
            </w:rPr>
            <w:t>(Santamaría, 2019)</w:t>
          </w:r>
        </w:sdtContent>
      </w:sdt>
      <w:r w:rsidRPr="007F5D57">
        <w:rPr>
          <w:color w:val="000000" w:themeColor="text1"/>
          <w:sz w:val="22"/>
          <w:szCs w:val="22"/>
          <w:shd w:val="clear" w:color="auto" w:fill="FFFFFF"/>
        </w:rPr>
        <w:t>.</w:t>
      </w:r>
      <w:r w:rsidR="000E4D51" w:rsidRPr="007F5D57">
        <w:rPr>
          <w:color w:val="000000" w:themeColor="text1"/>
          <w:sz w:val="22"/>
          <w:szCs w:val="22"/>
          <w:shd w:val="clear" w:color="auto" w:fill="FFFFFF"/>
          <w:lang w:eastAsia="en-AU"/>
        </w:rPr>
        <w:t xml:space="preserve"> </w:t>
      </w:r>
      <w:r w:rsidRPr="007F5D57">
        <w:rPr>
          <w:color w:val="000000" w:themeColor="text1"/>
          <w:sz w:val="22"/>
          <w:szCs w:val="22"/>
          <w:shd w:val="clear" w:color="auto" w:fill="FFFFFF"/>
        </w:rPr>
        <w:t>One financial benefit of urban megaprojects is their potential to stimulate economic development and to create employment opportunities.</w:t>
      </w:r>
      <w:r w:rsidR="000E4D51" w:rsidRPr="007F5D57">
        <w:rPr>
          <w:color w:val="000000" w:themeColor="text1"/>
          <w:sz w:val="22"/>
          <w:szCs w:val="22"/>
          <w:shd w:val="clear" w:color="auto" w:fill="FFFFFF"/>
          <w:lang w:eastAsia="en-AU"/>
        </w:rPr>
        <w:t xml:space="preserve"> </w:t>
      </w:r>
      <w:r w:rsidRPr="007F5D57">
        <w:rPr>
          <w:color w:val="000000" w:themeColor="text1"/>
          <w:sz w:val="22"/>
          <w:szCs w:val="22"/>
          <w:shd w:val="clear" w:color="auto" w:fill="FFFFFF"/>
        </w:rPr>
        <w:t xml:space="preserve">These projects attract significant investment and generate jobs in construction, infrastructure development, and related industries </w:t>
      </w:r>
      <w:sdt>
        <w:sdtPr>
          <w:rPr>
            <w:color w:val="000000"/>
            <w:sz w:val="22"/>
            <w:szCs w:val="22"/>
            <w:shd w:val="clear" w:color="auto" w:fill="FFFFFF"/>
          </w:rPr>
          <w:tag w:val="MENDELEY_CITATION_v3_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"/>
          <w:id w:val="-58555335"/>
          <w:placeholder>
            <w:docPart w:val="719CD1A5BFBD9F4FB9234B8E42D1CF36"/>
          </w:placeholder>
        </w:sdtPr>
        <w:sdtContent>
          <w:r w:rsidR="00607F6A" w:rsidRPr="00607F6A">
            <w:rPr>
              <w:color w:val="000000"/>
              <w:sz w:val="22"/>
              <w:szCs w:val="22"/>
              <w:shd w:val="clear" w:color="auto" w:fill="FFFFFF"/>
            </w:rPr>
            <w:t>(Mevada and Devkar, 2017)</w:t>
          </w:r>
        </w:sdtContent>
      </w:sdt>
      <w:r w:rsidRPr="007F5D57">
        <w:rPr>
          <w:color w:val="000000" w:themeColor="text1"/>
          <w:sz w:val="22"/>
          <w:szCs w:val="22"/>
          <w:shd w:val="clear" w:color="auto" w:fill="FFFFFF"/>
        </w:rPr>
        <w:t>.</w:t>
      </w:r>
      <w:r w:rsidR="000E4D51" w:rsidRPr="007F5D57">
        <w:rPr>
          <w:color w:val="000000" w:themeColor="text1"/>
          <w:sz w:val="22"/>
          <w:szCs w:val="22"/>
          <w:shd w:val="clear" w:color="auto" w:fill="FFFFFF"/>
          <w:lang w:eastAsia="en-AU"/>
        </w:rPr>
        <w:t xml:space="preserve"> </w:t>
      </w:r>
      <w:r w:rsidRPr="007F5D57">
        <w:rPr>
          <w:color w:val="000000" w:themeColor="text1"/>
          <w:sz w:val="22"/>
          <w:szCs w:val="22"/>
          <w:shd w:val="clear" w:color="auto" w:fill="FFFFFF"/>
        </w:rPr>
        <w:t>Megaprojects require a large workforce during the construction phase, which can lead to the creation of numerous jobs in local areas.</w:t>
      </w:r>
      <w:r w:rsidR="000E4D51" w:rsidRPr="007F5D57">
        <w:rPr>
          <w:color w:val="000000" w:themeColor="text1"/>
          <w:sz w:val="22"/>
          <w:szCs w:val="22"/>
          <w:shd w:val="clear" w:color="auto" w:fill="FFFFFF"/>
          <w:lang w:eastAsia="en-AU"/>
        </w:rPr>
        <w:t xml:space="preserve"> </w:t>
      </w:r>
      <w:r w:rsidRPr="007F5D57">
        <w:rPr>
          <w:color w:val="000000" w:themeColor="text1"/>
          <w:sz w:val="22"/>
          <w:szCs w:val="22"/>
          <w:shd w:val="clear" w:color="auto" w:fill="FFFFFF"/>
        </w:rPr>
        <w:t>These jobs provide employment opportunities for residents and contribute to a reduction in unemployment rates.</w:t>
      </w:r>
      <w:r w:rsidR="000E4D51" w:rsidRPr="007F5D57">
        <w:rPr>
          <w:color w:val="000000" w:themeColor="text1"/>
          <w:sz w:val="22"/>
          <w:szCs w:val="22"/>
          <w:shd w:val="clear" w:color="auto" w:fill="FFFFFF"/>
          <w:lang w:eastAsia="en-AU"/>
        </w:rPr>
        <w:t xml:space="preserve"> </w:t>
      </w:r>
      <w:r w:rsidRPr="007F5D57">
        <w:rPr>
          <w:color w:val="000000" w:themeColor="text1"/>
          <w:sz w:val="22"/>
          <w:szCs w:val="22"/>
          <w:shd w:val="clear" w:color="auto" w:fill="FFFFFF"/>
        </w:rPr>
        <w:t xml:space="preserve">Additionally, the operation and maintenance of completed megaprojects can also create long-term employment opportunities, and promoting urban megaprojects can attract increased investment opportunities </w:t>
      </w:r>
      <w:sdt>
        <w:sdtPr>
          <w:rPr>
            <w:color w:val="000000"/>
            <w:sz w:val="22"/>
            <w:szCs w:val="22"/>
            <w:shd w:val="clear" w:color="auto" w:fill="FFFFFF"/>
          </w:rPr>
          <w:tag w:val="MENDELEY_CITATION_v3_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"/>
          <w:id w:val="-613824549"/>
          <w:placeholder>
            <w:docPart w:val="61F2196E8D5BA347B0DDF11F600307B2"/>
          </w:placeholder>
        </w:sdtPr>
        <w:sdtContent>
          <w:r w:rsidR="00607F6A" w:rsidRPr="00607F6A">
            <w:rPr>
              <w:color w:val="000000"/>
              <w:sz w:val="22"/>
              <w:szCs w:val="22"/>
              <w:shd w:val="clear" w:color="auto" w:fill="FFFFFF"/>
            </w:rPr>
            <w:t>(Santamaría, 2019)</w:t>
          </w:r>
        </w:sdtContent>
      </w:sdt>
      <w:r w:rsidRPr="007F5D57">
        <w:rPr>
          <w:color w:val="000000" w:themeColor="text1"/>
          <w:sz w:val="22"/>
          <w:szCs w:val="22"/>
          <w:shd w:val="clear" w:color="auto" w:fill="FFFFFF"/>
        </w:rPr>
        <w:t>.</w:t>
      </w:r>
      <w:r w:rsidR="000E4D51" w:rsidRPr="007F5D57">
        <w:rPr>
          <w:color w:val="000000" w:themeColor="text1"/>
          <w:sz w:val="22"/>
          <w:szCs w:val="22"/>
          <w:shd w:val="clear" w:color="auto" w:fill="FFFFFF"/>
          <w:lang w:eastAsia="en-AU"/>
        </w:rPr>
        <w:t xml:space="preserve"> Megaprojects often require significant financial investments from both public and private sources. Public authorities can attract private investors by offering incentives, such as tax breaks, subsidies, and favourable regulatory conditions. </w:t>
      </w:r>
      <w:r w:rsidRPr="007F5D57">
        <w:rPr>
          <w:color w:val="000000" w:themeColor="text1"/>
          <w:sz w:val="22"/>
          <w:szCs w:val="22"/>
          <w:shd w:val="clear" w:color="auto" w:fill="FFFFFF"/>
        </w:rPr>
        <w:t xml:space="preserve">These investments can stimulate the local economy and contribute to the region’s overall development </w:t>
      </w:r>
      <w:sdt>
        <w:sdtPr>
          <w:rPr>
            <w:color w:val="000000"/>
            <w:sz w:val="22"/>
            <w:szCs w:val="22"/>
            <w:shd w:val="clear" w:color="auto" w:fill="FFFFFF"/>
          </w:rPr>
          <w:tag w:val="MENDELEY_CITATION_v3_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"/>
          <w:id w:val="1989365024"/>
          <w:placeholder>
            <w:docPart w:val="A23FF5427F203B4FAB56C6D078EFD05F"/>
          </w:placeholder>
        </w:sdtPr>
        <w:sdtContent>
          <w:r w:rsidR="00607F6A" w:rsidRPr="00607F6A">
            <w:rPr>
              <w:color w:val="000000"/>
              <w:sz w:val="22"/>
              <w:szCs w:val="22"/>
              <w:shd w:val="clear" w:color="auto" w:fill="FFFFFF"/>
            </w:rPr>
            <w:t>(Santamaría, 2019)</w:t>
          </w:r>
        </w:sdtContent>
      </w:sdt>
      <w:r w:rsidRPr="007F5D57">
        <w:rPr>
          <w:color w:val="000000" w:themeColor="text1"/>
          <w:sz w:val="22"/>
          <w:szCs w:val="22"/>
          <w:shd w:val="clear" w:color="auto" w:fill="FFFFFF"/>
        </w:rPr>
        <w:t>.</w:t>
      </w:r>
      <w:r w:rsidR="000E4D51" w:rsidRPr="007F5D57">
        <w:rPr>
          <w:color w:val="000000" w:themeColor="text1"/>
          <w:sz w:val="22"/>
          <w:szCs w:val="22"/>
          <w:shd w:val="clear" w:color="auto" w:fill="FFFFFF"/>
          <w:lang w:eastAsia="en-AU"/>
        </w:rPr>
        <w:t xml:space="preserve"> </w:t>
      </w:r>
      <w:r w:rsidRPr="007F5D57">
        <w:rPr>
          <w:color w:val="000000" w:themeColor="text1"/>
          <w:sz w:val="22"/>
          <w:szCs w:val="22"/>
          <w:shd w:val="clear" w:color="auto" w:fill="FFFFFF"/>
        </w:rPr>
        <w:t xml:space="preserve">Furthermore, promoting the development of urban megaprojects can improve the competitiveness of cities and regions </w:t>
      </w:r>
      <w:sdt>
        <w:sdtPr>
          <w:rPr>
            <w:color w:val="000000"/>
            <w:sz w:val="22"/>
            <w:szCs w:val="22"/>
            <w:shd w:val="clear" w:color="auto" w:fill="FFFFFF"/>
          </w:rPr>
          <w:tag w:val="MENDELEY_CITATION_v3_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"/>
          <w:id w:val="555366612"/>
          <w:placeholder>
            <w:docPart w:val="3F077EC611985E4F8B64FC6D1164C47F"/>
          </w:placeholder>
        </w:sdtPr>
        <w:sdtContent>
          <w:r w:rsidR="00607F6A" w:rsidRPr="00607F6A">
            <w:rPr>
              <w:color w:val="000000"/>
              <w:sz w:val="22"/>
              <w:szCs w:val="22"/>
              <w:shd w:val="clear" w:color="auto" w:fill="FFFFFF"/>
            </w:rPr>
            <w:t>(Hübscher, 2019)</w:t>
          </w:r>
        </w:sdtContent>
      </w:sdt>
      <w:r w:rsidRPr="007F5D57">
        <w:rPr>
          <w:color w:val="000000" w:themeColor="text1"/>
          <w:sz w:val="22"/>
          <w:szCs w:val="22"/>
          <w:shd w:val="clear" w:color="auto" w:fill="FFFFFF"/>
        </w:rPr>
        <w:t>.</w:t>
      </w:r>
      <w:r w:rsidR="000E4D51" w:rsidRPr="007F5D57">
        <w:rPr>
          <w:color w:val="000000" w:themeColor="text1"/>
          <w:sz w:val="22"/>
          <w:szCs w:val="22"/>
          <w:shd w:val="clear" w:color="auto" w:fill="FFFFFF"/>
          <w:lang w:eastAsia="en-AU"/>
        </w:rPr>
        <w:t xml:space="preserve"> </w:t>
      </w:r>
      <w:r w:rsidRPr="007F5D57">
        <w:rPr>
          <w:color w:val="000000" w:themeColor="text1"/>
          <w:sz w:val="22"/>
          <w:szCs w:val="22"/>
          <w:shd w:val="clear" w:color="auto" w:fill="FFFFFF"/>
        </w:rPr>
        <w:t>Megaprojects can serve as landmarks and symbols of progress, thereby attracting global attention and recognition.</w:t>
      </w:r>
      <w:r w:rsidR="000E4D51" w:rsidRPr="007F5D57">
        <w:rPr>
          <w:color w:val="000000" w:themeColor="text1"/>
          <w:sz w:val="22"/>
          <w:szCs w:val="22"/>
          <w:shd w:val="clear" w:color="auto" w:fill="FFFFFF"/>
          <w:lang w:eastAsia="en-AU"/>
        </w:rPr>
        <w:t xml:space="preserve"> </w:t>
      </w:r>
      <w:r w:rsidRPr="007F5D57">
        <w:rPr>
          <w:color w:val="000000" w:themeColor="text1"/>
          <w:sz w:val="22"/>
          <w:szCs w:val="22"/>
          <w:shd w:val="clear" w:color="auto" w:fill="FFFFFF"/>
        </w:rPr>
        <w:t xml:space="preserve">This increased visibility can attract businesses, investors, and tourists, further contributing to economic growth and development </w:t>
      </w:r>
      <w:sdt>
        <w:sdtPr>
          <w:rPr>
            <w:color w:val="000000"/>
            <w:sz w:val="22"/>
            <w:szCs w:val="22"/>
            <w:shd w:val="clear" w:color="auto" w:fill="FFFFFF"/>
          </w:rPr>
          <w:tag w:val="MENDELEY_CITATION_v3_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"/>
          <w:id w:val="1770279076"/>
          <w:placeholder>
            <w:docPart w:val="00400DBA17EDA04F9706B33E0E61F23B"/>
          </w:placeholder>
        </w:sdtPr>
        <w:sdtContent>
          <w:r w:rsidR="00607F6A" w:rsidRPr="00607F6A">
            <w:rPr>
              <w:color w:val="000000"/>
              <w:sz w:val="22"/>
              <w:szCs w:val="22"/>
              <w:shd w:val="clear" w:color="auto" w:fill="FFFFFF"/>
            </w:rPr>
            <w:t>(Santamaría, 2019)</w:t>
          </w:r>
        </w:sdtContent>
      </w:sdt>
      <w:r w:rsidRPr="007F5D57">
        <w:rPr>
          <w:color w:val="000000" w:themeColor="text1"/>
          <w:sz w:val="22"/>
          <w:szCs w:val="22"/>
          <w:shd w:val="clear" w:color="auto" w:fill="FFFFFF"/>
        </w:rPr>
        <w:t xml:space="preserve"> and can also lead to improvements in urban infrastructure and services.</w:t>
      </w:r>
      <w:r w:rsidR="000E4D51" w:rsidRPr="007F5D57">
        <w:rPr>
          <w:color w:val="000000" w:themeColor="text1"/>
          <w:sz w:val="22"/>
          <w:szCs w:val="22"/>
          <w:shd w:val="clear" w:color="auto" w:fill="FFFFFF"/>
          <w:lang w:eastAsia="en-AU"/>
        </w:rPr>
        <w:t xml:space="preserve"> </w:t>
      </w:r>
      <w:r w:rsidRPr="007F5D57">
        <w:rPr>
          <w:color w:val="000000" w:themeColor="text1"/>
          <w:sz w:val="22"/>
          <w:szCs w:val="22"/>
          <w:shd w:val="clear" w:color="auto" w:fill="FFFFFF"/>
        </w:rPr>
        <w:t>These projects often address the lack of basic infrastructure such as transportation systems, water supply, and energy networks</w:t>
      </w:r>
      <w:sdt>
        <w:sdtPr>
          <w:rPr>
            <w:color w:val="000000"/>
            <w:sz w:val="22"/>
            <w:szCs w:val="22"/>
            <w:shd w:val="clear" w:color="auto" w:fill="FFFFFF"/>
          </w:rPr>
          <w:tag w:val="MENDELEY_CITATION_v3_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"/>
          <w:id w:val="-1773472918"/>
          <w:placeholder>
            <w:docPart w:val="12E9BD31AF391A4EB0A188EA73E4C65E"/>
          </w:placeholder>
        </w:sdtPr>
        <w:sdtContent>
          <w:r w:rsidR="00607F6A" w:rsidRPr="00607F6A">
            <w:rPr>
              <w:color w:val="000000"/>
              <w:sz w:val="22"/>
              <w:szCs w:val="22"/>
              <w:shd w:val="clear" w:color="auto" w:fill="FFFFFF"/>
            </w:rPr>
            <w:t>(Perić and D’hondt, 2020)</w:t>
          </w:r>
        </w:sdtContent>
      </w:sdt>
      <w:r w:rsidRPr="007F5D57">
        <w:rPr>
          <w:color w:val="000000" w:themeColor="text1"/>
          <w:sz w:val="22"/>
          <w:szCs w:val="22"/>
          <w:shd w:val="clear" w:color="auto" w:fill="FFFFFF"/>
        </w:rPr>
        <w:t>.</w:t>
      </w:r>
      <w:r w:rsidR="000E4D51" w:rsidRPr="007F5D57">
        <w:rPr>
          <w:color w:val="000000" w:themeColor="text1"/>
          <w:sz w:val="22"/>
          <w:szCs w:val="22"/>
          <w:shd w:val="clear" w:color="auto" w:fill="FFFFFF"/>
          <w:lang w:eastAsia="en-AU"/>
        </w:rPr>
        <w:t xml:space="preserve"> </w:t>
      </w:r>
      <w:r w:rsidRPr="007F5D57">
        <w:rPr>
          <w:color w:val="000000" w:themeColor="text1"/>
          <w:sz w:val="22"/>
          <w:szCs w:val="22"/>
          <w:shd w:val="clear" w:color="auto" w:fill="FFFFFF"/>
        </w:rPr>
        <w:t>By investing in new infrastructure, megaprojects can improve residents’ quality of life and the general functionality of urban areas.</w:t>
      </w:r>
      <w:r w:rsidR="005C5C7C" w:rsidRPr="007F5D57">
        <w:rPr>
          <w:color w:val="000000" w:themeColor="text1"/>
          <w:sz w:val="22"/>
          <w:szCs w:val="22"/>
          <w:shd w:val="clear" w:color="auto" w:fill="FFFFFF"/>
          <w:lang w:eastAsia="en-AU"/>
        </w:rPr>
        <w:t xml:space="preserve"> </w:t>
      </w:r>
      <w:r w:rsidR="000E4D51" w:rsidRPr="007F5D57">
        <w:rPr>
          <w:color w:val="000000" w:themeColor="text1"/>
          <w:sz w:val="22"/>
          <w:szCs w:val="22"/>
          <w:shd w:val="clear" w:color="auto" w:fill="FFFFFF"/>
          <w:lang w:eastAsia="en-AU"/>
        </w:rPr>
        <w:t xml:space="preserve">In addition, </w:t>
      </w:r>
      <w:r w:rsidR="000E4D51" w:rsidRPr="007F5D57">
        <w:rPr>
          <w:color w:val="000000" w:themeColor="text1"/>
          <w:sz w:val="22"/>
          <w:szCs w:val="22"/>
          <w:shd w:val="clear" w:color="auto" w:fill="FFFFFF"/>
          <w:lang w:eastAsia="en-AU"/>
        </w:rPr>
        <w:lastRenderedPageBreak/>
        <w:t>megaprojects can contribute to the development of sustainable urban environments by incorporating green infrastructure and promoting pro-environmental behaviours</w:t>
      </w:r>
      <w:sdt>
        <w:sdtPr>
          <w:rPr>
            <w:color w:val="000000"/>
            <w:sz w:val="22"/>
            <w:szCs w:val="22"/>
            <w:shd w:val="clear" w:color="auto" w:fill="FFFFFF"/>
            <w:lang w:eastAsia="en-AU"/>
          </w:rPr>
          <w:tag w:val="MENDELEY_CITATION_v3_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"/>
          <w:id w:val="-1309168926"/>
          <w:placeholder>
            <w:docPart w:val="DefaultPlaceholder_-1854013440"/>
          </w:placeholder>
        </w:sdtPr>
        <w:sdtContent>
          <w:r w:rsidR="00607F6A" w:rsidRPr="00607F6A">
            <w:rPr>
              <w:color w:val="000000"/>
              <w:sz w:val="22"/>
              <w:szCs w:val="22"/>
              <w:shd w:val="clear" w:color="auto" w:fill="FFFFFF"/>
              <w:lang w:eastAsia="en-AU"/>
            </w:rPr>
            <w:t>(Parker and Simpson, 2020)</w:t>
          </w:r>
        </w:sdtContent>
      </w:sdt>
      <w:r w:rsidR="000E4D51" w:rsidRPr="007F5D57">
        <w:rPr>
          <w:color w:val="000000" w:themeColor="text1"/>
          <w:sz w:val="22"/>
          <w:szCs w:val="22"/>
          <w:shd w:val="clear" w:color="auto" w:fill="FFFFFF"/>
          <w:lang w:eastAsia="en-AU"/>
        </w:rPr>
        <w:t xml:space="preserve">. </w:t>
      </w:r>
    </w:p>
    <w:p w14:paraId="08D55F96" w14:textId="6103C3F9" w:rsidR="004E0CF2" w:rsidRPr="007F5D57" w:rsidRDefault="00211575" w:rsidP="004E0CF2">
      <w:pPr>
        <w:rPr>
          <w:color w:val="000000" w:themeColor="text1"/>
          <w:szCs w:val="22"/>
        </w:rPr>
      </w:pPr>
      <w:r w:rsidRPr="007F5D57">
        <w:rPr>
          <w:color w:val="000000" w:themeColor="text1"/>
          <w:szCs w:val="22"/>
          <w:shd w:val="clear" w:color="auto" w:fill="FFFFFF"/>
        </w:rPr>
        <w:t xml:space="preserve">However, criticism of megaprojects stems from </w:t>
      </w:r>
      <w:r w:rsidRPr="007F5D57">
        <w:rPr>
          <w:color w:val="000000" w:themeColor="text1"/>
          <w:szCs w:val="22"/>
        </w:rPr>
        <w:t xml:space="preserve">the delivery of promised outcomes and faces criticism regarding sustainability, equity, and true public value creation </w:t>
      </w:r>
      <w:sdt>
        <w:sdtPr>
          <w:rPr>
            <w:color w:val="000000"/>
            <w:szCs w:val="22"/>
          </w:rPr>
          <w:tag w:val="MENDELEY_CITATION_v3_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"/>
          <w:id w:val="771592356"/>
          <w:placeholder>
            <w:docPart w:val="78494D5735547C40936C40698FE676D8"/>
          </w:placeholder>
        </w:sdtPr>
        <w:sdtContent>
          <w:r w:rsidR="00607F6A" w:rsidRPr="00607F6A">
            <w:rPr>
              <w:color w:val="000000"/>
              <w:szCs w:val="22"/>
            </w:rPr>
            <w:t>(Swyngedouw, Moulaert, and Arantxa, 2002; Perić, 2019)</w:t>
          </w:r>
        </w:sdtContent>
      </w:sdt>
      <w:r w:rsidRPr="007F5D57">
        <w:rPr>
          <w:color w:val="000000" w:themeColor="text1"/>
          <w:szCs w:val="22"/>
        </w:rPr>
        <w:t>.</w:t>
      </w:r>
      <w:r w:rsidR="00AC3B77" w:rsidRPr="007F5D57">
        <w:rPr>
          <w:color w:val="000000" w:themeColor="text1"/>
          <w:szCs w:val="22"/>
          <w:shd w:val="clear" w:color="auto" w:fill="FFFFFF"/>
        </w:rPr>
        <w:t xml:space="preserve"> </w:t>
      </w:r>
      <w:r w:rsidRPr="007F5D57">
        <w:rPr>
          <w:color w:val="000000" w:themeColor="text1"/>
          <w:szCs w:val="22"/>
          <w:shd w:val="clear" w:color="auto" w:fill="FFFFFF"/>
        </w:rPr>
        <w:t>Despite their potential benefits, megaprojects often fail to deliver their promises, leading to disillusionment and disappointment among local communities.</w:t>
      </w:r>
      <w:r w:rsidR="006C5133" w:rsidRPr="007F5D57">
        <w:rPr>
          <w:color w:val="000000" w:themeColor="text1"/>
          <w:szCs w:val="22"/>
          <w:shd w:val="clear" w:color="auto" w:fill="FFFFFF"/>
        </w:rPr>
        <w:t xml:space="preserve"> </w:t>
      </w:r>
      <w:r w:rsidR="006C5133" w:rsidRPr="007F5D57">
        <w:rPr>
          <w:color w:val="000000" w:themeColor="text1"/>
          <w:szCs w:val="22"/>
        </w:rPr>
        <w:t xml:space="preserve">Specific concerns raised regarding megaprojects include a lack of community input, prioritisation of developer profits, and unbalanced power dynamics in planning processes </w:t>
      </w:r>
      <w:sdt>
        <w:sdtPr>
          <w:rPr>
            <w:color w:val="000000"/>
            <w:szCs w:val="22"/>
          </w:rPr>
          <w:tag w:val="MENDELEY_CITATION_v3_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"/>
          <w:id w:val="-1637105301"/>
          <w:placeholder>
            <w:docPart w:val="DefaultPlaceholder_-1854013440"/>
          </w:placeholder>
        </w:sdtPr>
        <w:sdtContent>
          <w:r w:rsidR="00607F6A" w:rsidRPr="00607F6A">
            <w:rPr>
              <w:color w:val="000000"/>
              <w:szCs w:val="22"/>
            </w:rPr>
            <w:t>(Majoor, 2006; Santamaría, 2019)</w:t>
          </w:r>
        </w:sdtContent>
      </w:sdt>
      <w:r w:rsidR="006C5133" w:rsidRPr="007F5D57">
        <w:rPr>
          <w:color w:val="000000" w:themeColor="text1"/>
          <w:szCs w:val="22"/>
        </w:rPr>
        <w:t>.</w:t>
      </w:r>
    </w:p>
    <w:p w14:paraId="18FEE012" w14:textId="6970C0C1" w:rsidR="004E0CF2" w:rsidRPr="007F5D57" w:rsidRDefault="004E0CF2" w:rsidP="004E0CF2">
      <w:pPr>
        <w:rPr>
          <w:color w:val="000000" w:themeColor="text1"/>
          <w:szCs w:val="22"/>
        </w:rPr>
      </w:pPr>
      <w:r w:rsidRPr="007F5D57">
        <w:rPr>
          <w:color w:val="000000" w:themeColor="text1"/>
          <w:szCs w:val="22"/>
        </w:rPr>
        <w:t xml:space="preserve">Cost-benefit analysis is a vital tool for evaluating megaproject proposals and public investment decisions </w:t>
      </w:r>
      <w:sdt>
        <w:sdtPr>
          <w:rPr>
            <w:color w:val="000000"/>
            <w:szCs w:val="22"/>
          </w:rPr>
          <w:tag w:val="MENDELEY_CITATION_v3_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"/>
          <w:id w:val="-1301373792"/>
          <w:placeholder>
            <w:docPart w:val="DefaultPlaceholder_-1854013440"/>
          </w:placeholder>
        </w:sdtPr>
        <w:sdtContent>
          <w:r w:rsidR="00607F6A" w:rsidRPr="00607F6A">
            <w:rPr>
              <w:color w:val="000000"/>
              <w:szCs w:val="22"/>
            </w:rPr>
            <w:t>(Searle and Legacy, 2019)</w:t>
          </w:r>
        </w:sdtContent>
      </w:sdt>
      <w:r w:rsidRPr="007F5D57">
        <w:rPr>
          <w:color w:val="000000" w:themeColor="text1"/>
          <w:szCs w:val="22"/>
        </w:rPr>
        <w:t xml:space="preserve">. </w:t>
      </w:r>
      <w:r w:rsidR="00E545DC" w:rsidRPr="007F5D57">
        <w:rPr>
          <w:color w:val="000000" w:themeColor="text1"/>
          <w:szCs w:val="22"/>
        </w:rPr>
        <w:t xml:space="preserve">However, the accurate quantification of costs, monetisation of indirect impacts, and uncertainty pose challenges </w:t>
      </w:r>
      <w:sdt>
        <w:sdtPr>
          <w:rPr>
            <w:color w:val="000000"/>
            <w:szCs w:val="22"/>
          </w:rPr>
          <w:tag w:val="MENDELEY_CITATION_v3_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"/>
          <w:id w:val="90059512"/>
          <w:placeholder>
            <w:docPart w:val="DefaultPlaceholder_-1854013440"/>
          </w:placeholder>
        </w:sdtPr>
        <w:sdtContent>
          <w:r w:rsidR="00607F6A" w:rsidRPr="00607F6A">
            <w:rPr>
              <w:color w:val="000000"/>
              <w:szCs w:val="22"/>
            </w:rPr>
            <w:t>(Banister and Thurstain-Goodwin, 2011; Searle and Legacy, 2019)</w:t>
          </w:r>
        </w:sdtContent>
      </w:sdt>
      <w:r w:rsidR="00E545DC" w:rsidRPr="007F5D57">
        <w:rPr>
          <w:color w:val="000000" w:themeColor="text1"/>
          <w:szCs w:val="22"/>
        </w:rPr>
        <w:t>.</w:t>
      </w:r>
      <w:r w:rsidRPr="007F5D57">
        <w:rPr>
          <w:color w:val="000000" w:themeColor="text1"/>
          <w:szCs w:val="22"/>
        </w:rPr>
        <w:t xml:space="preserve"> </w:t>
      </w:r>
      <w:r w:rsidR="00E545DC" w:rsidRPr="007F5D57">
        <w:rPr>
          <w:color w:val="000000" w:themeColor="text1"/>
          <w:szCs w:val="22"/>
        </w:rPr>
        <w:t>More localised economic analyses of the outcomes are limited.</w:t>
      </w:r>
      <w:r w:rsidR="005951C0" w:rsidRPr="007F5D57">
        <w:rPr>
          <w:color w:val="000000" w:themeColor="text1"/>
          <w:szCs w:val="22"/>
        </w:rPr>
        <w:t xml:space="preserve"> </w:t>
      </w:r>
      <w:r w:rsidR="00211575" w:rsidRPr="007F5D57">
        <w:rPr>
          <w:color w:val="000000" w:themeColor="text1"/>
          <w:szCs w:val="22"/>
        </w:rPr>
        <w:t>In Australia, CBAs are mandatory for large-scale transportation developments.</w:t>
      </w:r>
    </w:p>
    <w:p w14:paraId="51601299" w14:textId="711252E6" w:rsidR="006C11AC" w:rsidRPr="007F5D57" w:rsidRDefault="00211575" w:rsidP="006C11AC">
      <w:pPr>
        <w:pStyle w:val="NormalWeb"/>
        <w:jc w:val="both"/>
        <w:rPr>
          <w:color w:val="000000" w:themeColor="text1"/>
          <w:sz w:val="22"/>
          <w:szCs w:val="22"/>
          <w:shd w:val="clear" w:color="auto" w:fill="FFFFFF"/>
          <w:lang w:eastAsia="en-AU"/>
        </w:rPr>
      </w:pPr>
      <w:r w:rsidRPr="007F5D57">
        <w:rPr>
          <w:color w:val="000000" w:themeColor="text1"/>
          <w:sz w:val="22"/>
          <w:szCs w:val="22"/>
          <w:shd w:val="clear" w:color="auto" w:fill="FFFFFF"/>
        </w:rPr>
        <w:t>In contrast, the economic benefits of mixed use on a national scale are difficult to quantify, because a causal relationship between the project and the national economy often cannot be established.</w:t>
      </w:r>
      <w:r w:rsidR="006C11AC" w:rsidRPr="007F5D57">
        <w:rPr>
          <w:color w:val="000000" w:themeColor="text1"/>
          <w:sz w:val="22"/>
          <w:szCs w:val="22"/>
          <w:shd w:val="clear" w:color="auto" w:fill="FFFFFF"/>
          <w:lang w:eastAsia="en-AU"/>
        </w:rPr>
        <w:t xml:space="preserve"> By contrast, a statistical relationship between mixed-use megaprojects and the impact on agglomeration and the impact on land and property values can be established and is estimated to show significant results. </w:t>
      </w:r>
      <w:sdt>
        <w:sdtPr>
          <w:rPr>
            <w:color w:val="000000"/>
            <w:sz w:val="22"/>
            <w:szCs w:val="22"/>
            <w:shd w:val="clear" w:color="auto" w:fill="FFFFFF"/>
            <w:lang w:eastAsia="en-AU"/>
          </w:rPr>
          <w:tag w:val="MENDELEY_CITATION_v3_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"/>
          <w:id w:val="-804775750"/>
          <w:placeholder>
            <w:docPart w:val="0C472A0B07439D4F9BA2B17AA894DEC3"/>
          </w:placeholder>
        </w:sdtPr>
        <w:sdtContent>
          <w:r w:rsidR="00607F6A" w:rsidRPr="00607F6A">
            <w:rPr>
              <w:color w:val="000000"/>
              <w:sz w:val="22"/>
              <w:szCs w:val="22"/>
              <w:shd w:val="clear" w:color="auto" w:fill="FFFFFF"/>
              <w:lang w:eastAsia="en-AU"/>
            </w:rPr>
            <w:t>Banister and Thurstain-Goodwin (2011)</w:t>
          </w:r>
        </w:sdtContent>
      </w:sdt>
      <w:r w:rsidR="005C5C7C" w:rsidRPr="007F5D57">
        <w:rPr>
          <w:color w:val="000000" w:themeColor="text1"/>
          <w:sz w:val="22"/>
          <w:szCs w:val="22"/>
          <w:shd w:val="clear" w:color="auto" w:fill="FFFFFF"/>
          <w:lang w:eastAsia="en-AU"/>
        </w:rPr>
        <w:t xml:space="preserve"> </w:t>
      </w:r>
      <w:r w:rsidR="006C11AC" w:rsidRPr="007F5D57">
        <w:rPr>
          <w:color w:val="000000" w:themeColor="text1"/>
          <w:sz w:val="22"/>
          <w:szCs w:val="22"/>
          <w:shd w:val="clear" w:color="auto" w:fill="FFFFFF"/>
          <w:lang w:eastAsia="en-AU"/>
        </w:rPr>
        <w:t xml:space="preserve">analyse these meso- (agglomeration effects) and microeconomic effects at the property level. </w:t>
      </w:r>
      <w:r w:rsidRPr="007F5D57">
        <w:rPr>
          <w:color w:val="000000" w:themeColor="text1"/>
          <w:sz w:val="22"/>
          <w:szCs w:val="22"/>
          <w:shd w:val="clear" w:color="auto" w:fill="FFFFFF"/>
        </w:rPr>
        <w:t>Their study investigated the macroeconomic, mesoeconomic, and microeconomic effects of railway transportation projects on three major transportation projects in London.</w:t>
      </w:r>
      <w:r w:rsidR="006C11AC" w:rsidRPr="007F5D57">
        <w:rPr>
          <w:color w:val="000000" w:themeColor="text1"/>
          <w:sz w:val="22"/>
          <w:szCs w:val="22"/>
          <w:shd w:val="clear" w:color="auto" w:fill="FFFFFF"/>
          <w:lang w:eastAsia="en-AU"/>
        </w:rPr>
        <w:t xml:space="preserve">  </w:t>
      </w:r>
      <w:r w:rsidRPr="007F5D57">
        <w:rPr>
          <w:color w:val="000000" w:themeColor="text1"/>
          <w:sz w:val="22"/>
          <w:szCs w:val="22"/>
          <w:shd w:val="clear" w:color="auto" w:fill="FFFFFF"/>
        </w:rPr>
        <w:t xml:space="preserve">Their findings suggest that the impact of transportation projects must be investigated at three levels </w:t>
      </w:r>
      <w:sdt>
        <w:sdtPr>
          <w:rPr>
            <w:color w:val="000000"/>
            <w:sz w:val="22"/>
            <w:szCs w:val="22"/>
            <w:shd w:val="clear" w:color="auto" w:fill="FFFFFF"/>
          </w:rPr>
          <w:tag w:val="MENDELEY_CITATION_v3_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"/>
          <w:id w:val="-353196364"/>
          <w:placeholder>
            <w:docPart w:val="3679F8974414F547B44AE4AD9AEBE956"/>
          </w:placeholder>
        </w:sdtPr>
        <w:sdtContent>
          <w:r w:rsidR="00607F6A" w:rsidRPr="00607F6A">
            <w:rPr>
              <w:color w:val="000000"/>
              <w:sz w:val="22"/>
              <w:szCs w:val="22"/>
              <w:shd w:val="clear" w:color="auto" w:fill="FFFFFF"/>
            </w:rPr>
            <w:t>(Banister and Thurstain-Goodwin 2011)</w:t>
          </w:r>
        </w:sdtContent>
      </w:sdt>
      <w:r w:rsidRPr="007F5D57">
        <w:rPr>
          <w:color w:val="000000" w:themeColor="text1"/>
          <w:sz w:val="22"/>
          <w:szCs w:val="22"/>
          <w:shd w:val="clear" w:color="auto" w:fill="FFFFFF"/>
        </w:rPr>
        <w:t>.</w:t>
      </w:r>
      <w:r w:rsidR="006C11AC" w:rsidRPr="007F5D57">
        <w:rPr>
          <w:color w:val="000000" w:themeColor="text1"/>
          <w:sz w:val="22"/>
          <w:szCs w:val="22"/>
          <w:shd w:val="clear" w:color="auto" w:fill="FFFFFF"/>
          <w:lang w:eastAsia="en-AU"/>
        </w:rPr>
        <w:t xml:space="preserve"> </w:t>
      </w:r>
      <w:r w:rsidRPr="007F5D57">
        <w:rPr>
          <w:color w:val="000000" w:themeColor="text1"/>
          <w:sz w:val="22"/>
          <w:szCs w:val="22"/>
          <w:shd w:val="clear" w:color="auto" w:fill="FFFFFF"/>
        </w:rPr>
        <w:t>At the macroeconomic level, the impacts are related to the effects of the regional network and economy, as measured through changes in output and productivity.</w:t>
      </w:r>
      <w:r w:rsidR="006C11AC" w:rsidRPr="007F5D57">
        <w:rPr>
          <w:color w:val="000000" w:themeColor="text1"/>
          <w:sz w:val="22"/>
          <w:szCs w:val="22"/>
          <w:shd w:val="clear" w:color="auto" w:fill="FFFFFF"/>
          <w:lang w:eastAsia="en-AU"/>
        </w:rPr>
        <w:t xml:space="preserve"> At the meso level, the impacts relate more to agglomeration economies and the effects of the labour market, with some additional network and environmental consequences. </w:t>
      </w:r>
      <w:r w:rsidRPr="007F5D57">
        <w:rPr>
          <w:color w:val="000000" w:themeColor="text1"/>
          <w:sz w:val="22"/>
          <w:szCs w:val="22"/>
          <w:shd w:val="clear" w:color="auto" w:fill="FFFFFF"/>
        </w:rPr>
        <w:t>At the micro level, impacts are determined by land and property market effects</w:t>
      </w:r>
      <w:sdt>
        <w:sdtPr>
          <w:rPr>
            <w:color w:val="000000"/>
            <w:sz w:val="22"/>
            <w:szCs w:val="22"/>
            <w:shd w:val="clear" w:color="auto" w:fill="FFFFFF"/>
          </w:rPr>
          <w:tag w:val="MENDELEY_CITATION_v3_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"/>
          <w:id w:val="24067208"/>
          <w:placeholder>
            <w:docPart w:val="48C57A7B9EED6949A0D10CFEFCB1E0A3"/>
          </w:placeholder>
        </w:sdtPr>
        <w:sdtContent>
          <w:r w:rsidR="00607F6A" w:rsidRPr="00607F6A">
            <w:rPr>
              <w:color w:val="000000"/>
              <w:sz w:val="22"/>
              <w:szCs w:val="22"/>
              <w:shd w:val="clear" w:color="auto" w:fill="FFFFFF"/>
            </w:rPr>
            <w:t>(Banister and Thurstain-Goodwin, 2011)</w:t>
          </w:r>
        </w:sdtContent>
      </w:sdt>
      <w:r w:rsidRPr="007F5D57">
        <w:rPr>
          <w:color w:val="000000" w:themeColor="text1"/>
          <w:sz w:val="22"/>
          <w:szCs w:val="22"/>
          <w:shd w:val="clear" w:color="auto" w:fill="FFFFFF"/>
        </w:rPr>
        <w:t>.</w:t>
      </w:r>
    </w:p>
    <w:p w14:paraId="03B757C9" w14:textId="41FB6CEF" w:rsidR="006C11AC" w:rsidRDefault="00097B95" w:rsidP="004E0CF2">
      <w:pPr>
        <w:rPr>
          <w:szCs w:val="22"/>
        </w:rPr>
      </w:pPr>
      <w:r w:rsidRPr="007F5D57">
        <w:rPr>
          <w:color w:val="000000" w:themeColor="text1"/>
          <w:szCs w:val="22"/>
        </w:rPr>
        <w:t xml:space="preserve">Increases in the surrounding land value provide a perspective on the economic influence of megaprojects. </w:t>
      </w:r>
      <w:r w:rsidR="00211575" w:rsidRPr="007F5D57">
        <w:rPr>
          <w:color w:val="000000" w:themeColor="text1"/>
          <w:szCs w:val="22"/>
        </w:rPr>
        <w:t xml:space="preserve">The phenomenon of land value uplift has been posited around major urban projects, but has not been empirically analysed </w:t>
      </w:r>
      <w:sdt>
        <w:sdtPr>
          <w:rPr>
            <w:color w:val="000000"/>
            <w:szCs w:val="22"/>
          </w:rPr>
          <w:tag w:val="MENDELEY_CITATION_v3_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"/>
          <w:id w:val="1007328908"/>
          <w:placeholder>
            <w:docPart w:val="2226779B5AE392448FA7D8F6047A6611"/>
          </w:placeholder>
        </w:sdtPr>
        <w:sdtContent>
          <w:r w:rsidR="00607F6A" w:rsidRPr="00607F6A">
            <w:rPr>
              <w:color w:val="000000"/>
              <w:szCs w:val="22"/>
            </w:rPr>
            <w:t>(Harris, 2016, 2017)</w:t>
          </w:r>
        </w:sdtContent>
      </w:sdt>
      <w:r w:rsidR="00211575" w:rsidRPr="007F5D57">
        <w:rPr>
          <w:color w:val="000000" w:themeColor="text1"/>
          <w:szCs w:val="22"/>
        </w:rPr>
        <w:t>.</w:t>
      </w:r>
      <w:r w:rsidRPr="007F5D57">
        <w:rPr>
          <w:color w:val="000000" w:themeColor="text1"/>
          <w:szCs w:val="22"/>
        </w:rPr>
        <w:t xml:space="preserve"> Hedonic pricing models allow the estimation </w:t>
      </w:r>
      <w:r w:rsidRPr="00CD3F5A">
        <w:rPr>
          <w:szCs w:val="22"/>
        </w:rPr>
        <w:t xml:space="preserve">of land value changes by studying contributing property characteristics and external factors </w:t>
      </w:r>
      <w:sdt>
        <w:sdtPr>
          <w:rPr>
            <w:color w:val="000000"/>
            <w:szCs w:val="22"/>
          </w:rPr>
          <w:tag w:val="MENDELEY_CITATION_v3_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"/>
          <w:id w:val="-997345694"/>
          <w:placeholder>
            <w:docPart w:val="DefaultPlaceholder_-1854013440"/>
          </w:placeholder>
        </w:sdtPr>
        <w:sdtContent>
          <w:r w:rsidR="00607F6A" w:rsidRPr="00607F6A">
            <w:rPr>
              <w:color w:val="000000"/>
              <w:szCs w:val="22"/>
            </w:rPr>
            <w:t>(Herath and Jayasekare, 2021)</w:t>
          </w:r>
        </w:sdtContent>
      </w:sdt>
      <w:r w:rsidRPr="00CD3F5A">
        <w:rPr>
          <w:szCs w:val="22"/>
        </w:rPr>
        <w:t>. However, few studies have applied these methods to mixed-use megaprojects</w:t>
      </w:r>
      <w:r w:rsidR="005E509D" w:rsidRPr="00CD3F5A">
        <w:rPr>
          <w:szCs w:val="22"/>
        </w:rPr>
        <w:t>.</w:t>
      </w:r>
    </w:p>
    <w:p w14:paraId="0BD0F4F2" w14:textId="0C1272E4" w:rsidR="007B03ED" w:rsidRPr="00C82CC2" w:rsidRDefault="007B03ED" w:rsidP="004E0CF2">
      <w:pPr>
        <w:rPr>
          <w:color w:val="000000" w:themeColor="text1"/>
          <w:szCs w:val="22"/>
        </w:rPr>
      </w:pPr>
      <w:r w:rsidRPr="00C82CC2">
        <w:rPr>
          <w:color w:val="000000" w:themeColor="text1"/>
          <w:szCs w:val="22"/>
        </w:rPr>
        <w:t xml:space="preserve">Based on the initial work of </w:t>
      </w:r>
      <w:sdt>
        <w:sdtPr>
          <w:rPr>
            <w:color w:val="000000"/>
            <w:szCs w:val="22"/>
          </w:rPr>
          <w:tag w:val="MENDELEY_CITATION_v3_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"/>
          <w:id w:val="-1795745593"/>
          <w:placeholder>
            <w:docPart w:val="DefaultPlaceholder_-1854013440"/>
          </w:placeholder>
        </w:sdtPr>
        <w:sdtContent>
          <w:r w:rsidR="00607F6A" w:rsidRPr="00607F6A">
            <w:rPr>
              <w:color w:val="000000"/>
              <w:szCs w:val="22"/>
            </w:rPr>
            <w:t>Lancaster (1966)</w:t>
          </w:r>
        </w:sdtContent>
      </w:sdt>
      <w:r w:rsidRPr="00C82CC2">
        <w:rPr>
          <w:color w:val="FF0000"/>
          <w:szCs w:val="22"/>
        </w:rPr>
        <w:t xml:space="preserve"> </w:t>
      </w:r>
      <w:r w:rsidRPr="00C82CC2">
        <w:rPr>
          <w:color w:val="000000" w:themeColor="text1"/>
          <w:szCs w:val="22"/>
        </w:rPr>
        <w:t xml:space="preserve">and </w:t>
      </w:r>
      <w:sdt>
        <w:sdtPr>
          <w:rPr>
            <w:color w:val="000000"/>
            <w:szCs w:val="22"/>
          </w:rPr>
          <w:tag w:val="MENDELEY_CITATION_v3_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"/>
          <w:id w:val="1992670350"/>
          <w:placeholder>
            <w:docPart w:val="DefaultPlaceholder_-1854013440"/>
          </w:placeholder>
        </w:sdtPr>
        <w:sdtContent>
          <w:r w:rsidR="00607F6A" w:rsidRPr="00607F6A">
            <w:rPr>
              <w:color w:val="000000"/>
              <w:szCs w:val="22"/>
            </w:rPr>
            <w:t>Rosen (1974),</w:t>
          </w:r>
        </w:sdtContent>
      </w:sdt>
      <w:r w:rsidRPr="00C82CC2">
        <w:rPr>
          <w:color w:val="FF0000"/>
          <w:szCs w:val="22"/>
        </w:rPr>
        <w:t xml:space="preserve"> </w:t>
      </w:r>
      <w:r w:rsidRPr="00C82CC2">
        <w:rPr>
          <w:color w:val="000000" w:themeColor="text1"/>
          <w:szCs w:val="22"/>
        </w:rPr>
        <w:t xml:space="preserve">hedonic pricing models have been extensively applied in real estate analysis to study the implicit value contribution of certain property attributes or features </w:t>
      </w:r>
      <w:sdt>
        <w:sdtPr>
          <w:rPr>
            <w:color w:val="000000"/>
            <w:szCs w:val="22"/>
          </w:rPr>
          <w:tag w:val="MENDELEY_CITATION_v3_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"/>
          <w:id w:val="826397096"/>
          <w:placeholder>
            <w:docPart w:val="DefaultPlaceholder_-1854013440"/>
          </w:placeholder>
        </w:sdtPr>
        <w:sdtContent>
          <w:r w:rsidR="00607F6A" w:rsidRPr="00607F6A">
            <w:rPr>
              <w:color w:val="000000"/>
              <w:szCs w:val="22"/>
            </w:rPr>
            <w:t>(Khoshnoud, Sirmans and Zietz, 2023)</w:t>
          </w:r>
        </w:sdtContent>
      </w:sdt>
      <w:r w:rsidR="003B5DCE" w:rsidRPr="003B5DCE">
        <w:rPr>
          <w:color w:val="000000" w:themeColor="text1"/>
          <w:szCs w:val="22"/>
        </w:rPr>
        <w:t xml:space="preserve">. </w:t>
      </w:r>
      <w:r w:rsidRPr="00C82CC2">
        <w:rPr>
          <w:color w:val="000000" w:themeColor="text1"/>
          <w:szCs w:val="22"/>
          <w:shd w:val="clear" w:color="auto" w:fill="FFFFFF"/>
        </w:rPr>
        <w:t>These methods recognise that a property's value is determined by its inherent characteristics, such as age or building area along with contextual factors, such as demographics and location.</w:t>
      </w:r>
      <w:r w:rsidRPr="00C82CC2">
        <w:rPr>
          <w:color w:val="000000" w:themeColor="text1"/>
          <w:szCs w:val="22"/>
        </w:rPr>
        <w:t xml:space="preserve"> </w:t>
      </w:r>
      <w:r w:rsidRPr="00C82CC2">
        <w:rPr>
          <w:color w:val="000000" w:themeColor="text1"/>
          <w:szCs w:val="22"/>
          <w:shd w:val="clear" w:color="auto" w:fill="FFFFFF"/>
        </w:rPr>
        <w:t xml:space="preserve">Applying hedonic pricing models to understand impacts on land value allows isolating the external effects of proximity to sites like transportation infrastructure or mixed-use projects. </w:t>
      </w:r>
    </w:p>
    <w:p w14:paraId="36570671" w14:textId="344250A9" w:rsidR="004E0CF2" w:rsidRDefault="007B03ED" w:rsidP="004E0CF2">
      <w:pPr>
        <w:rPr>
          <w:color w:val="000000" w:themeColor="text1"/>
          <w:szCs w:val="22"/>
        </w:rPr>
      </w:pPr>
      <w:r w:rsidRPr="00C82CC2">
        <w:rPr>
          <w:color w:val="000000" w:themeColor="text1"/>
          <w:szCs w:val="22"/>
          <w:shd w:val="clear" w:color="auto" w:fill="FFFFFF"/>
        </w:rPr>
        <w:t xml:space="preserve">Studies have used price gradient analysis to estimate the residual value of land </w:t>
      </w:r>
      <w:r w:rsidRPr="00C82CC2">
        <w:rPr>
          <w:color w:val="000000" w:themeColor="text1"/>
          <w:szCs w:val="22"/>
        </w:rPr>
        <w:t xml:space="preserve">by modelling price gradients based on surrounding amenities and locational traits </w:t>
      </w:r>
      <w:sdt>
        <w:sdtPr>
          <w:rPr>
            <w:color w:val="000000"/>
            <w:szCs w:val="22"/>
          </w:rPr>
          <w:tag w:val="MENDELEY_CITATION_v3_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"/>
          <w:id w:val="-1362814905"/>
          <w:placeholder>
            <w:docPart w:val="DefaultPlaceholder_-1854013440"/>
          </w:placeholder>
        </w:sdtPr>
        <w:sdtContent>
          <w:r w:rsidR="00607F6A" w:rsidRPr="00607F6A">
            <w:rPr>
              <w:color w:val="000000"/>
              <w:szCs w:val="22"/>
            </w:rPr>
            <w:t>(McMillen, 1996).</w:t>
          </w:r>
        </w:sdtContent>
      </w:sdt>
      <w:r w:rsidRPr="00C82CC2">
        <w:rPr>
          <w:color w:val="FF0000"/>
          <w:szCs w:val="22"/>
        </w:rPr>
        <w:t xml:space="preserve"> </w:t>
      </w:r>
      <w:r w:rsidRPr="00C82CC2">
        <w:rPr>
          <w:color w:val="000000" w:themeColor="text1"/>
          <w:szCs w:val="22"/>
          <w:shd w:val="clear" w:color="auto" w:fill="FFFFFF"/>
        </w:rPr>
        <w:t>The residual price gradient can reveal subtle localised effects that may be overlooked in broader assessments.</w:t>
      </w:r>
      <w:r w:rsidRPr="00C82CC2">
        <w:rPr>
          <w:color w:val="000000" w:themeColor="text1"/>
          <w:szCs w:val="22"/>
        </w:rPr>
        <w:t xml:space="preserve"> For instance, </w:t>
      </w:r>
      <w:sdt>
        <w:sdtPr>
          <w:rPr>
            <w:color w:val="000000"/>
            <w:szCs w:val="22"/>
          </w:rPr>
          <w:tag w:val="MENDELEY_CITATION_v3_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"/>
          <w:id w:val="7182783"/>
          <w:placeholder>
            <w:docPart w:val="DefaultPlaceholder_-1854013440"/>
          </w:placeholder>
        </w:sdtPr>
        <w:sdtContent>
          <w:r w:rsidR="00607F6A" w:rsidRPr="00607F6A">
            <w:rPr>
              <w:color w:val="000000"/>
              <w:szCs w:val="22"/>
            </w:rPr>
            <w:t>(Gibbons and Machin, 2005)</w:t>
          </w:r>
        </w:sdtContent>
      </w:sdt>
      <w:r w:rsidRPr="00C82CC2">
        <w:rPr>
          <w:color w:val="FF0000"/>
          <w:szCs w:val="22"/>
        </w:rPr>
        <w:t xml:space="preserve"> </w:t>
      </w:r>
      <w:r w:rsidRPr="00C82CC2">
        <w:rPr>
          <w:color w:val="000000" w:themeColor="text1"/>
          <w:szCs w:val="22"/>
        </w:rPr>
        <w:t>found that proximity to new transit station developments increased surrounding residential property prices in London.</w:t>
      </w:r>
    </w:p>
    <w:p w14:paraId="327BF6A5" w14:textId="77777777" w:rsidR="0009751C" w:rsidRPr="00C82CC2" w:rsidRDefault="0009751C" w:rsidP="004E0CF2">
      <w:pPr>
        <w:rPr>
          <w:color w:val="000000" w:themeColor="text1"/>
          <w:szCs w:val="22"/>
        </w:rPr>
      </w:pPr>
    </w:p>
    <w:p w14:paraId="355F75EA" w14:textId="77777777" w:rsidR="00F809C7" w:rsidRPr="00CF62BD" w:rsidRDefault="00F809C7" w:rsidP="00F809C7">
      <w:pPr>
        <w:pStyle w:val="Heading1"/>
        <w:jc w:val="both"/>
      </w:pPr>
      <w:r>
        <w:t>Data</w:t>
      </w:r>
    </w:p>
    <w:p w14:paraId="7E7F38ED" w14:textId="390C93E3" w:rsidR="00A5066B" w:rsidRPr="007F5D57" w:rsidRDefault="00211575" w:rsidP="00605B86">
      <w:pPr>
        <w:rPr>
          <w:color w:val="000000" w:themeColor="text1"/>
          <w:szCs w:val="22"/>
          <w:shd w:val="clear" w:color="auto" w:fill="FFFFFF"/>
        </w:rPr>
      </w:pPr>
      <w:r w:rsidRPr="007F5D57">
        <w:rPr>
          <w:color w:val="000000" w:themeColor="text1"/>
          <w:szCs w:val="22"/>
          <w:shd w:val="clear" w:color="auto" w:fill="FFFFFF"/>
        </w:rPr>
        <w:t>In Queensland, the unimproved site value was used to determine statutory land values.</w:t>
      </w:r>
      <w:r w:rsidR="0076158B" w:rsidRPr="007F5D57">
        <w:rPr>
          <w:color w:val="000000" w:themeColor="text1"/>
          <w:szCs w:val="22"/>
          <w:shd w:val="clear" w:color="auto" w:fill="FFFFFF"/>
        </w:rPr>
        <w:t xml:space="preserve"> </w:t>
      </w:r>
      <w:r w:rsidRPr="007F5D57">
        <w:rPr>
          <w:color w:val="000000" w:themeColor="text1"/>
          <w:szCs w:val="22"/>
          <w:shd w:val="clear" w:color="auto" w:fill="FFFFFF"/>
        </w:rPr>
        <w:t>Valuations are issued annually by the Valuer-General and used for local government ratings or state land tax purposes.</w:t>
      </w:r>
      <w:r w:rsidR="0076158B" w:rsidRPr="007F5D57">
        <w:rPr>
          <w:color w:val="000000" w:themeColor="text1"/>
          <w:szCs w:val="22"/>
          <w:shd w:val="clear" w:color="auto" w:fill="FFFFFF"/>
        </w:rPr>
        <w:t xml:space="preserve"> The Queensland Revenue Office calculates land tax based on this value. </w:t>
      </w:r>
      <w:r w:rsidRPr="007F5D57">
        <w:rPr>
          <w:color w:val="000000" w:themeColor="text1"/>
          <w:szCs w:val="22"/>
          <w:shd w:val="clear" w:color="auto" w:fill="FFFFFF"/>
        </w:rPr>
        <w:t>A cross-sectional dataset was obtained from QLD Globe.</w:t>
      </w:r>
      <w:r w:rsidR="000C2E59" w:rsidRPr="007F5D57">
        <w:rPr>
          <w:color w:val="000000" w:themeColor="text1"/>
          <w:szCs w:val="22"/>
          <w:shd w:val="clear" w:color="auto" w:fill="FFFFFF"/>
        </w:rPr>
        <w:t xml:space="preserve"> </w:t>
      </w:r>
      <w:r w:rsidRPr="007F5D57">
        <w:rPr>
          <w:color w:val="000000" w:themeColor="text1"/>
          <w:szCs w:val="22"/>
          <w:shd w:val="clear" w:color="auto" w:fill="FFFFFF"/>
        </w:rPr>
        <w:t>The platform offers data for all rateable local-government areas in Queensland.</w:t>
      </w:r>
      <w:r w:rsidR="00A5066B" w:rsidRPr="007F5D57">
        <w:rPr>
          <w:color w:val="000000" w:themeColor="text1"/>
          <w:szCs w:val="22"/>
          <w:shd w:val="clear" w:color="auto" w:fill="FFFFFF"/>
        </w:rPr>
        <w:t xml:space="preserve"> </w:t>
      </w:r>
      <w:r w:rsidRPr="007F5D57">
        <w:rPr>
          <w:color w:val="000000" w:themeColor="text1"/>
          <w:szCs w:val="22"/>
          <w:shd w:val="clear" w:color="auto" w:fill="FFFFFF"/>
        </w:rPr>
        <w:t>For the current valuation period, the dataset we used includes land valuation data within a one-kilometre radius of the Queen's Wharf site in Brisbane, QLD.</w:t>
      </w:r>
      <w:r w:rsidR="000C2E59" w:rsidRPr="007F5D57">
        <w:rPr>
          <w:color w:val="000000" w:themeColor="text1"/>
          <w:szCs w:val="22"/>
          <w:shd w:val="clear" w:color="auto" w:fill="FFFFFF"/>
        </w:rPr>
        <w:t xml:space="preserve"> </w:t>
      </w:r>
      <w:r w:rsidRPr="007F5D57">
        <w:rPr>
          <w:color w:val="000000" w:themeColor="text1"/>
          <w:szCs w:val="22"/>
          <w:shd w:val="clear" w:color="auto" w:fill="FFFFFF"/>
        </w:rPr>
        <w:t>Appendix 1 presents an aerial view of the study area.</w:t>
      </w:r>
      <w:r w:rsidR="000C2E59" w:rsidRPr="007F5D57">
        <w:rPr>
          <w:color w:val="000000" w:themeColor="text1"/>
          <w:szCs w:val="22"/>
          <w:shd w:val="clear" w:color="auto" w:fill="FFFFFF"/>
        </w:rPr>
        <w:t xml:space="preserve"> </w:t>
      </w:r>
      <w:r w:rsidRPr="007F5D57">
        <w:rPr>
          <w:color w:val="000000" w:themeColor="text1"/>
          <w:szCs w:val="22"/>
          <w:shd w:val="clear" w:color="auto" w:fill="FFFFFF"/>
        </w:rPr>
        <w:t>The study area is significant because it comprises a large area of Brisbane’s CBD.</w:t>
      </w:r>
      <w:r w:rsidR="000C2E59" w:rsidRPr="007F5D57">
        <w:rPr>
          <w:color w:val="000000" w:themeColor="text1"/>
          <w:szCs w:val="22"/>
          <w:shd w:val="clear" w:color="auto" w:fill="FFFFFF"/>
        </w:rPr>
        <w:t xml:space="preserve"> </w:t>
      </w:r>
      <w:r w:rsidR="00634572" w:rsidRPr="007F5D57">
        <w:rPr>
          <w:color w:val="000000" w:themeColor="text1"/>
          <w:szCs w:val="22"/>
          <w:shd w:val="clear" w:color="auto" w:fill="FFFFFF"/>
        </w:rPr>
        <w:t xml:space="preserve">We identified 22 counts within the precinct, </w:t>
      </w:r>
      <w:r w:rsidR="00634572" w:rsidRPr="007F5D57">
        <w:rPr>
          <w:color w:val="000000" w:themeColor="text1"/>
          <w:szCs w:val="22"/>
          <w:shd w:val="clear" w:color="auto" w:fill="FFFFFF"/>
        </w:rPr>
        <w:lastRenderedPageBreak/>
        <w:t>for which we created a dummy variable</w:t>
      </w:r>
      <w:r w:rsidR="00A5066B" w:rsidRPr="007F5D57">
        <w:rPr>
          <w:color w:val="000000" w:themeColor="text1"/>
          <w:szCs w:val="22"/>
          <w:shd w:val="clear" w:color="auto" w:fill="FFFFFF"/>
        </w:rPr>
        <w:t xml:space="preserve"> using the Real Property Description (RPD)</w:t>
      </w:r>
      <w:r w:rsidR="00634572" w:rsidRPr="007F5D57">
        <w:rPr>
          <w:color w:val="000000" w:themeColor="text1"/>
          <w:szCs w:val="22"/>
          <w:shd w:val="clear" w:color="auto" w:fill="FFFFFF"/>
        </w:rPr>
        <w:t>.</w:t>
      </w:r>
      <w:r w:rsidR="00A5066B" w:rsidRPr="007F5D57">
        <w:rPr>
          <w:color w:val="000000" w:themeColor="text1"/>
          <w:szCs w:val="22"/>
          <w:shd w:val="clear" w:color="auto" w:fill="FFFFFF"/>
        </w:rPr>
        <w:t xml:space="preserve"> </w:t>
      </w:r>
      <w:r w:rsidRPr="007F5D57">
        <w:rPr>
          <w:color w:val="000000" w:themeColor="text1"/>
          <w:szCs w:val="22"/>
          <w:shd w:val="clear" w:color="auto" w:fill="FFFFFF"/>
        </w:rPr>
        <w:t>Table 1 lists the raw data from Queensland Globe and the feature-engineered data used in the analysis process.</w:t>
      </w:r>
      <w:r w:rsidR="00A5066B" w:rsidRPr="007F5D57">
        <w:rPr>
          <w:color w:val="000000" w:themeColor="text1"/>
          <w:szCs w:val="22"/>
          <w:shd w:val="clear" w:color="auto" w:fill="FFFFFF"/>
        </w:rPr>
        <w:t xml:space="preserve"> </w:t>
      </w:r>
    </w:p>
    <w:p w14:paraId="77534F29" w14:textId="77777777" w:rsidR="00605B86" w:rsidRPr="00605B86" w:rsidRDefault="00605B86" w:rsidP="007F5D57"/>
    <w:p w14:paraId="6C90A654" w14:textId="238E9A00" w:rsidR="00D9536E" w:rsidRPr="007F5D57" w:rsidRDefault="00D9536E" w:rsidP="00D9536E">
      <w:pPr>
        <w:pStyle w:val="Caption"/>
        <w:keepNext/>
        <w:rPr>
          <w:sz w:val="20"/>
        </w:rPr>
      </w:pPr>
      <w:r w:rsidRPr="007F5D57">
        <w:rPr>
          <w:sz w:val="20"/>
        </w:rPr>
        <w:t xml:space="preserve">Table </w:t>
      </w:r>
      <w:r w:rsidRPr="007F5D57">
        <w:rPr>
          <w:sz w:val="20"/>
        </w:rPr>
        <w:fldChar w:fldCharType="begin"/>
      </w:r>
      <w:r w:rsidRPr="007F5D57">
        <w:rPr>
          <w:sz w:val="20"/>
        </w:rPr>
        <w:instrText xml:space="preserve"> SEQ Table \* ARABIC </w:instrText>
      </w:r>
      <w:r w:rsidRPr="007F5D57">
        <w:rPr>
          <w:sz w:val="20"/>
        </w:rPr>
        <w:fldChar w:fldCharType="separate"/>
      </w:r>
      <w:r w:rsidR="00BA473B">
        <w:rPr>
          <w:noProof/>
          <w:sz w:val="20"/>
        </w:rPr>
        <w:t>1</w:t>
      </w:r>
      <w:r w:rsidRPr="007F5D57">
        <w:rPr>
          <w:noProof/>
          <w:sz w:val="20"/>
        </w:rPr>
        <w:fldChar w:fldCharType="end"/>
      </w:r>
      <w:r w:rsidRPr="007F5D57">
        <w:rPr>
          <w:sz w:val="20"/>
        </w:rPr>
        <w:t xml:space="preserve"> Data Description</w:t>
      </w:r>
    </w:p>
    <w:tbl>
      <w:tblPr>
        <w:tblW w:w="9638" w:type="dxa"/>
        <w:tblLook w:val="04A0" w:firstRow="1" w:lastRow="0" w:firstColumn="1" w:lastColumn="0" w:noHBand="0" w:noVBand="1"/>
      </w:tblPr>
      <w:tblGrid>
        <w:gridCol w:w="2419"/>
        <w:gridCol w:w="5518"/>
        <w:gridCol w:w="1701"/>
      </w:tblGrid>
      <w:tr w:rsidR="00D9536E" w14:paraId="56B2B4C2" w14:textId="77777777" w:rsidTr="005455A9">
        <w:trPr>
          <w:trHeight w:val="320"/>
        </w:trPr>
        <w:tc>
          <w:tcPr>
            <w:tcW w:w="2419" w:type="dxa"/>
            <w:tcBorders>
              <w:top w:val="single" w:sz="4" w:space="0" w:color="auto"/>
              <w:left w:val="nil"/>
              <w:bottom w:val="single" w:sz="4" w:space="0" w:color="auto"/>
              <w:right w:val="nil"/>
            </w:tcBorders>
            <w:shd w:val="clear" w:color="auto" w:fill="auto"/>
            <w:noWrap/>
            <w:vAlign w:val="bottom"/>
            <w:hideMark/>
          </w:tcPr>
          <w:p w14:paraId="0449D390" w14:textId="77777777" w:rsidR="00D9536E" w:rsidRPr="007F5D57" w:rsidRDefault="00D9536E" w:rsidP="007F5D57">
            <w:pPr>
              <w:jc w:val="left"/>
              <w:rPr>
                <w:color w:val="000000"/>
                <w:sz w:val="20"/>
                <w:szCs w:val="20"/>
              </w:rPr>
            </w:pPr>
            <w:r w:rsidRPr="007F5D57">
              <w:rPr>
                <w:color w:val="000000"/>
                <w:sz w:val="20"/>
                <w:szCs w:val="20"/>
              </w:rPr>
              <w:t>Variable</w:t>
            </w:r>
          </w:p>
        </w:tc>
        <w:tc>
          <w:tcPr>
            <w:tcW w:w="5518" w:type="dxa"/>
            <w:tcBorders>
              <w:top w:val="single" w:sz="4" w:space="0" w:color="auto"/>
              <w:left w:val="nil"/>
              <w:bottom w:val="single" w:sz="4" w:space="0" w:color="auto"/>
              <w:right w:val="nil"/>
            </w:tcBorders>
            <w:shd w:val="clear" w:color="auto" w:fill="auto"/>
            <w:noWrap/>
            <w:vAlign w:val="bottom"/>
            <w:hideMark/>
          </w:tcPr>
          <w:p w14:paraId="1F45F622" w14:textId="77777777" w:rsidR="00D9536E" w:rsidRPr="007F5D57" w:rsidRDefault="00D9536E" w:rsidP="007F5D57">
            <w:pPr>
              <w:jc w:val="left"/>
              <w:rPr>
                <w:color w:val="000000"/>
                <w:sz w:val="20"/>
                <w:szCs w:val="20"/>
              </w:rPr>
            </w:pPr>
            <w:r w:rsidRPr="007F5D57">
              <w:rPr>
                <w:color w:val="000000"/>
                <w:sz w:val="20"/>
                <w:szCs w:val="20"/>
              </w:rPr>
              <w:t>Description</w:t>
            </w:r>
          </w:p>
        </w:tc>
        <w:tc>
          <w:tcPr>
            <w:tcW w:w="1701" w:type="dxa"/>
            <w:tcBorders>
              <w:top w:val="single" w:sz="4" w:space="0" w:color="auto"/>
              <w:left w:val="nil"/>
              <w:bottom w:val="single" w:sz="4" w:space="0" w:color="auto"/>
              <w:right w:val="nil"/>
            </w:tcBorders>
            <w:shd w:val="clear" w:color="auto" w:fill="auto"/>
            <w:noWrap/>
            <w:vAlign w:val="bottom"/>
            <w:hideMark/>
          </w:tcPr>
          <w:p w14:paraId="5A004061" w14:textId="77777777" w:rsidR="00D9536E" w:rsidRPr="007F5D57" w:rsidRDefault="00D9536E" w:rsidP="007F5D57">
            <w:pPr>
              <w:jc w:val="left"/>
              <w:rPr>
                <w:color w:val="000000"/>
                <w:sz w:val="20"/>
                <w:szCs w:val="20"/>
              </w:rPr>
            </w:pPr>
            <w:r w:rsidRPr="007F5D57">
              <w:rPr>
                <w:color w:val="000000"/>
                <w:sz w:val="20"/>
                <w:szCs w:val="20"/>
              </w:rPr>
              <w:t>Source</w:t>
            </w:r>
          </w:p>
        </w:tc>
      </w:tr>
      <w:tr w:rsidR="00D9536E" w14:paraId="308F091D" w14:textId="77777777" w:rsidTr="005455A9">
        <w:trPr>
          <w:trHeight w:val="320"/>
        </w:trPr>
        <w:tc>
          <w:tcPr>
            <w:tcW w:w="2419" w:type="dxa"/>
            <w:tcBorders>
              <w:top w:val="nil"/>
              <w:left w:val="nil"/>
              <w:bottom w:val="nil"/>
              <w:right w:val="nil"/>
            </w:tcBorders>
            <w:shd w:val="clear" w:color="auto" w:fill="auto"/>
            <w:noWrap/>
            <w:vAlign w:val="bottom"/>
            <w:hideMark/>
          </w:tcPr>
          <w:p w14:paraId="20CD696B" w14:textId="77777777" w:rsidR="00D9536E" w:rsidRPr="007F5D57" w:rsidRDefault="00D9536E" w:rsidP="007F5D57">
            <w:pPr>
              <w:jc w:val="left"/>
              <w:rPr>
                <w:color w:val="000000"/>
                <w:sz w:val="20"/>
                <w:szCs w:val="20"/>
              </w:rPr>
            </w:pPr>
            <w:r w:rsidRPr="007F5D57">
              <w:rPr>
                <w:color w:val="000000"/>
                <w:sz w:val="20"/>
                <w:szCs w:val="20"/>
              </w:rPr>
              <w:t>Property ID</w:t>
            </w:r>
          </w:p>
        </w:tc>
        <w:tc>
          <w:tcPr>
            <w:tcW w:w="5518" w:type="dxa"/>
            <w:tcBorders>
              <w:top w:val="nil"/>
              <w:left w:val="nil"/>
              <w:bottom w:val="nil"/>
              <w:right w:val="nil"/>
            </w:tcBorders>
            <w:shd w:val="clear" w:color="auto" w:fill="auto"/>
            <w:noWrap/>
            <w:vAlign w:val="bottom"/>
            <w:hideMark/>
          </w:tcPr>
          <w:p w14:paraId="0351F9C7" w14:textId="77777777" w:rsidR="00D9536E" w:rsidRPr="007F5D57" w:rsidRDefault="00D9536E" w:rsidP="007F5D57">
            <w:pPr>
              <w:jc w:val="left"/>
              <w:rPr>
                <w:color w:val="000000"/>
                <w:sz w:val="20"/>
                <w:szCs w:val="20"/>
              </w:rPr>
            </w:pPr>
            <w:r w:rsidRPr="007F5D57">
              <w:rPr>
                <w:color w:val="000000"/>
                <w:sz w:val="20"/>
                <w:szCs w:val="20"/>
              </w:rPr>
              <w:t>A unique identification number for each property.</w:t>
            </w:r>
          </w:p>
        </w:tc>
        <w:tc>
          <w:tcPr>
            <w:tcW w:w="1701" w:type="dxa"/>
            <w:tcBorders>
              <w:top w:val="nil"/>
              <w:left w:val="nil"/>
              <w:bottom w:val="nil"/>
              <w:right w:val="nil"/>
            </w:tcBorders>
            <w:shd w:val="clear" w:color="auto" w:fill="auto"/>
            <w:noWrap/>
            <w:vAlign w:val="bottom"/>
            <w:hideMark/>
          </w:tcPr>
          <w:p w14:paraId="7AE7FAD7" w14:textId="77777777" w:rsidR="00D9536E" w:rsidRPr="007F5D57" w:rsidRDefault="00D9536E" w:rsidP="007F5D57">
            <w:pPr>
              <w:jc w:val="left"/>
              <w:rPr>
                <w:color w:val="000000"/>
                <w:sz w:val="20"/>
                <w:szCs w:val="20"/>
              </w:rPr>
            </w:pPr>
            <w:r w:rsidRPr="007F5D57">
              <w:rPr>
                <w:color w:val="000000"/>
                <w:sz w:val="20"/>
                <w:szCs w:val="20"/>
              </w:rPr>
              <w:t>QLD Globe</w:t>
            </w:r>
          </w:p>
        </w:tc>
      </w:tr>
      <w:tr w:rsidR="00D9536E" w14:paraId="36183A9D" w14:textId="77777777" w:rsidTr="005455A9">
        <w:trPr>
          <w:trHeight w:val="320"/>
        </w:trPr>
        <w:tc>
          <w:tcPr>
            <w:tcW w:w="2419" w:type="dxa"/>
            <w:tcBorders>
              <w:top w:val="nil"/>
              <w:left w:val="nil"/>
              <w:bottom w:val="nil"/>
              <w:right w:val="nil"/>
            </w:tcBorders>
            <w:shd w:val="clear" w:color="auto" w:fill="auto"/>
            <w:noWrap/>
            <w:vAlign w:val="bottom"/>
            <w:hideMark/>
          </w:tcPr>
          <w:p w14:paraId="7A5D6371" w14:textId="77777777" w:rsidR="00D9536E" w:rsidRPr="007F5D57" w:rsidRDefault="00D9536E" w:rsidP="007F5D57">
            <w:pPr>
              <w:jc w:val="left"/>
              <w:rPr>
                <w:color w:val="000000"/>
                <w:sz w:val="20"/>
                <w:szCs w:val="20"/>
              </w:rPr>
            </w:pPr>
            <w:r w:rsidRPr="007F5D57">
              <w:rPr>
                <w:color w:val="000000"/>
                <w:sz w:val="20"/>
                <w:szCs w:val="20"/>
              </w:rPr>
              <w:t>Real property description</w:t>
            </w:r>
          </w:p>
        </w:tc>
        <w:tc>
          <w:tcPr>
            <w:tcW w:w="5518" w:type="dxa"/>
            <w:tcBorders>
              <w:top w:val="nil"/>
              <w:left w:val="nil"/>
              <w:bottom w:val="nil"/>
              <w:right w:val="nil"/>
            </w:tcBorders>
            <w:shd w:val="clear" w:color="auto" w:fill="auto"/>
            <w:noWrap/>
            <w:vAlign w:val="bottom"/>
            <w:hideMark/>
          </w:tcPr>
          <w:p w14:paraId="6BBCD1F2" w14:textId="77777777" w:rsidR="00D9536E" w:rsidRPr="007F5D57" w:rsidRDefault="00D9536E" w:rsidP="007F5D57">
            <w:pPr>
              <w:jc w:val="left"/>
              <w:rPr>
                <w:color w:val="000000"/>
                <w:sz w:val="20"/>
                <w:szCs w:val="20"/>
              </w:rPr>
            </w:pPr>
            <w:r w:rsidRPr="007F5D57">
              <w:rPr>
                <w:color w:val="000000"/>
                <w:sz w:val="20"/>
                <w:szCs w:val="20"/>
              </w:rPr>
              <w:t>Legal description of the lands within the valuation</w:t>
            </w:r>
          </w:p>
        </w:tc>
        <w:tc>
          <w:tcPr>
            <w:tcW w:w="1701" w:type="dxa"/>
            <w:tcBorders>
              <w:top w:val="nil"/>
              <w:left w:val="nil"/>
              <w:bottom w:val="nil"/>
              <w:right w:val="nil"/>
            </w:tcBorders>
            <w:shd w:val="clear" w:color="auto" w:fill="auto"/>
            <w:noWrap/>
            <w:vAlign w:val="bottom"/>
            <w:hideMark/>
          </w:tcPr>
          <w:p w14:paraId="45CF2055" w14:textId="77777777" w:rsidR="00D9536E" w:rsidRPr="007F5D57" w:rsidRDefault="00D9536E" w:rsidP="007F5D57">
            <w:pPr>
              <w:jc w:val="left"/>
              <w:rPr>
                <w:color w:val="000000"/>
                <w:sz w:val="20"/>
                <w:szCs w:val="20"/>
              </w:rPr>
            </w:pPr>
            <w:r w:rsidRPr="007F5D57">
              <w:rPr>
                <w:color w:val="000000"/>
                <w:sz w:val="20"/>
                <w:szCs w:val="20"/>
              </w:rPr>
              <w:t>QLD Globe</w:t>
            </w:r>
          </w:p>
        </w:tc>
      </w:tr>
      <w:tr w:rsidR="00D9536E" w14:paraId="53C8C21B" w14:textId="77777777" w:rsidTr="005455A9">
        <w:trPr>
          <w:trHeight w:val="320"/>
        </w:trPr>
        <w:tc>
          <w:tcPr>
            <w:tcW w:w="2419" w:type="dxa"/>
            <w:tcBorders>
              <w:top w:val="nil"/>
              <w:left w:val="nil"/>
              <w:bottom w:val="nil"/>
              <w:right w:val="nil"/>
            </w:tcBorders>
            <w:shd w:val="clear" w:color="auto" w:fill="auto"/>
            <w:noWrap/>
            <w:vAlign w:val="bottom"/>
            <w:hideMark/>
          </w:tcPr>
          <w:p w14:paraId="5A8D7BCA" w14:textId="77777777" w:rsidR="00D9536E" w:rsidRPr="007F5D57" w:rsidRDefault="00D9536E" w:rsidP="007F5D57">
            <w:pPr>
              <w:jc w:val="left"/>
              <w:rPr>
                <w:color w:val="000000"/>
                <w:sz w:val="20"/>
                <w:szCs w:val="20"/>
              </w:rPr>
            </w:pPr>
            <w:r w:rsidRPr="007F5D57">
              <w:rPr>
                <w:color w:val="000000"/>
                <w:sz w:val="20"/>
                <w:szCs w:val="20"/>
              </w:rPr>
              <w:t>Total lots</w:t>
            </w:r>
          </w:p>
        </w:tc>
        <w:tc>
          <w:tcPr>
            <w:tcW w:w="5518" w:type="dxa"/>
            <w:tcBorders>
              <w:top w:val="nil"/>
              <w:left w:val="nil"/>
              <w:bottom w:val="nil"/>
              <w:right w:val="nil"/>
            </w:tcBorders>
            <w:shd w:val="clear" w:color="auto" w:fill="auto"/>
            <w:noWrap/>
            <w:vAlign w:val="bottom"/>
            <w:hideMark/>
          </w:tcPr>
          <w:p w14:paraId="00D2DDA9" w14:textId="77777777" w:rsidR="00D9536E" w:rsidRPr="007F5D57" w:rsidRDefault="00D9536E" w:rsidP="007F5D57">
            <w:pPr>
              <w:jc w:val="left"/>
              <w:rPr>
                <w:color w:val="000000"/>
                <w:sz w:val="20"/>
                <w:szCs w:val="20"/>
              </w:rPr>
            </w:pPr>
            <w:r w:rsidRPr="007F5D57">
              <w:rPr>
                <w:color w:val="000000"/>
                <w:sz w:val="20"/>
                <w:szCs w:val="20"/>
              </w:rPr>
              <w:t>Number of lots included in the property valuation</w:t>
            </w:r>
          </w:p>
        </w:tc>
        <w:tc>
          <w:tcPr>
            <w:tcW w:w="1701" w:type="dxa"/>
            <w:tcBorders>
              <w:top w:val="nil"/>
              <w:left w:val="nil"/>
              <w:bottom w:val="nil"/>
              <w:right w:val="nil"/>
            </w:tcBorders>
            <w:shd w:val="clear" w:color="auto" w:fill="auto"/>
            <w:noWrap/>
            <w:vAlign w:val="bottom"/>
            <w:hideMark/>
          </w:tcPr>
          <w:p w14:paraId="348E57BD" w14:textId="77777777" w:rsidR="00D9536E" w:rsidRPr="007F5D57" w:rsidRDefault="00D9536E" w:rsidP="007F5D57">
            <w:pPr>
              <w:jc w:val="left"/>
              <w:rPr>
                <w:color w:val="000000"/>
                <w:sz w:val="20"/>
                <w:szCs w:val="20"/>
              </w:rPr>
            </w:pPr>
            <w:r w:rsidRPr="007F5D57">
              <w:rPr>
                <w:color w:val="000000"/>
                <w:sz w:val="20"/>
                <w:szCs w:val="20"/>
              </w:rPr>
              <w:t>QLD Globe</w:t>
            </w:r>
          </w:p>
        </w:tc>
      </w:tr>
      <w:tr w:rsidR="00D9536E" w14:paraId="13AC67B4" w14:textId="77777777" w:rsidTr="005455A9">
        <w:trPr>
          <w:trHeight w:val="320"/>
        </w:trPr>
        <w:tc>
          <w:tcPr>
            <w:tcW w:w="2419" w:type="dxa"/>
            <w:tcBorders>
              <w:top w:val="nil"/>
              <w:left w:val="nil"/>
              <w:bottom w:val="nil"/>
              <w:right w:val="nil"/>
            </w:tcBorders>
            <w:shd w:val="clear" w:color="auto" w:fill="auto"/>
            <w:noWrap/>
            <w:vAlign w:val="bottom"/>
            <w:hideMark/>
          </w:tcPr>
          <w:p w14:paraId="57CB5FFC" w14:textId="77777777" w:rsidR="00D9536E" w:rsidRPr="007F5D57" w:rsidRDefault="00D9536E" w:rsidP="007F5D57">
            <w:pPr>
              <w:jc w:val="left"/>
              <w:rPr>
                <w:color w:val="000000"/>
                <w:sz w:val="20"/>
                <w:szCs w:val="20"/>
              </w:rPr>
            </w:pPr>
            <w:r w:rsidRPr="007F5D57">
              <w:rPr>
                <w:color w:val="000000"/>
                <w:sz w:val="20"/>
                <w:szCs w:val="20"/>
              </w:rPr>
              <w:t>Current valuation</w:t>
            </w:r>
          </w:p>
        </w:tc>
        <w:tc>
          <w:tcPr>
            <w:tcW w:w="5518" w:type="dxa"/>
            <w:tcBorders>
              <w:top w:val="nil"/>
              <w:left w:val="nil"/>
              <w:bottom w:val="nil"/>
              <w:right w:val="nil"/>
            </w:tcBorders>
            <w:shd w:val="clear" w:color="auto" w:fill="auto"/>
            <w:noWrap/>
            <w:vAlign w:val="bottom"/>
            <w:hideMark/>
          </w:tcPr>
          <w:p w14:paraId="302E246F" w14:textId="77777777" w:rsidR="00D9536E" w:rsidRPr="007F5D57" w:rsidRDefault="00D9536E" w:rsidP="007F5D57">
            <w:pPr>
              <w:jc w:val="left"/>
              <w:rPr>
                <w:color w:val="000000"/>
                <w:sz w:val="20"/>
                <w:szCs w:val="20"/>
              </w:rPr>
            </w:pPr>
            <w:r w:rsidRPr="007F5D57">
              <w:rPr>
                <w:color w:val="000000"/>
                <w:sz w:val="20"/>
                <w:szCs w:val="20"/>
              </w:rPr>
              <w:t>Valuation determined on the last valuation date</w:t>
            </w:r>
          </w:p>
        </w:tc>
        <w:tc>
          <w:tcPr>
            <w:tcW w:w="1701" w:type="dxa"/>
            <w:tcBorders>
              <w:top w:val="nil"/>
              <w:left w:val="nil"/>
              <w:bottom w:val="nil"/>
              <w:right w:val="nil"/>
            </w:tcBorders>
            <w:shd w:val="clear" w:color="auto" w:fill="auto"/>
            <w:noWrap/>
            <w:vAlign w:val="bottom"/>
            <w:hideMark/>
          </w:tcPr>
          <w:p w14:paraId="753880A6" w14:textId="77777777" w:rsidR="00D9536E" w:rsidRPr="007F5D57" w:rsidRDefault="00D9536E" w:rsidP="007F5D57">
            <w:pPr>
              <w:jc w:val="left"/>
              <w:rPr>
                <w:color w:val="000000"/>
                <w:sz w:val="20"/>
                <w:szCs w:val="20"/>
              </w:rPr>
            </w:pPr>
            <w:r w:rsidRPr="007F5D57">
              <w:rPr>
                <w:color w:val="000000"/>
                <w:sz w:val="20"/>
                <w:szCs w:val="20"/>
              </w:rPr>
              <w:t>QLD Globe</w:t>
            </w:r>
          </w:p>
        </w:tc>
      </w:tr>
      <w:tr w:rsidR="00D9536E" w14:paraId="0BC07A89" w14:textId="77777777" w:rsidTr="005455A9">
        <w:trPr>
          <w:trHeight w:val="320"/>
        </w:trPr>
        <w:tc>
          <w:tcPr>
            <w:tcW w:w="2419" w:type="dxa"/>
            <w:tcBorders>
              <w:top w:val="nil"/>
              <w:left w:val="nil"/>
              <w:bottom w:val="nil"/>
              <w:right w:val="nil"/>
            </w:tcBorders>
            <w:shd w:val="clear" w:color="auto" w:fill="auto"/>
            <w:noWrap/>
            <w:vAlign w:val="bottom"/>
            <w:hideMark/>
          </w:tcPr>
          <w:p w14:paraId="5813208F" w14:textId="77777777" w:rsidR="00D9536E" w:rsidRPr="007F5D57" w:rsidRDefault="00D9536E" w:rsidP="007F5D57">
            <w:pPr>
              <w:jc w:val="left"/>
              <w:rPr>
                <w:color w:val="000000"/>
                <w:sz w:val="20"/>
                <w:szCs w:val="20"/>
              </w:rPr>
            </w:pPr>
            <w:r w:rsidRPr="007F5D57">
              <w:rPr>
                <w:color w:val="000000"/>
                <w:sz w:val="20"/>
                <w:szCs w:val="20"/>
              </w:rPr>
              <w:t>Current valuation date</w:t>
            </w:r>
          </w:p>
        </w:tc>
        <w:tc>
          <w:tcPr>
            <w:tcW w:w="5518" w:type="dxa"/>
            <w:tcBorders>
              <w:top w:val="nil"/>
              <w:left w:val="nil"/>
              <w:bottom w:val="nil"/>
              <w:right w:val="nil"/>
            </w:tcBorders>
            <w:shd w:val="clear" w:color="auto" w:fill="auto"/>
            <w:noWrap/>
            <w:vAlign w:val="bottom"/>
            <w:hideMark/>
          </w:tcPr>
          <w:p w14:paraId="70D4E251" w14:textId="77777777" w:rsidR="00D9536E" w:rsidRPr="007F5D57" w:rsidRDefault="00D9536E" w:rsidP="007F5D57">
            <w:pPr>
              <w:jc w:val="left"/>
              <w:rPr>
                <w:color w:val="000000"/>
                <w:sz w:val="20"/>
                <w:szCs w:val="20"/>
              </w:rPr>
            </w:pPr>
            <w:r w:rsidRPr="007F5D57">
              <w:rPr>
                <w:color w:val="000000"/>
                <w:sz w:val="20"/>
                <w:szCs w:val="20"/>
              </w:rPr>
              <w:t>The date on which the</w:t>
            </w:r>
            <w:r w:rsidRPr="007F5D57">
              <w:rPr>
                <w:color w:val="000000" w:themeColor="text1"/>
                <w:sz w:val="20"/>
                <w:szCs w:val="20"/>
              </w:rPr>
              <w:t xml:space="preserve"> last </w:t>
            </w:r>
            <w:r w:rsidRPr="007F5D57">
              <w:rPr>
                <w:color w:val="000000"/>
                <w:sz w:val="20"/>
                <w:szCs w:val="20"/>
              </w:rPr>
              <w:t>valuation was determined</w:t>
            </w:r>
          </w:p>
        </w:tc>
        <w:tc>
          <w:tcPr>
            <w:tcW w:w="1701" w:type="dxa"/>
            <w:tcBorders>
              <w:top w:val="nil"/>
              <w:left w:val="nil"/>
              <w:bottom w:val="nil"/>
              <w:right w:val="nil"/>
            </w:tcBorders>
            <w:shd w:val="clear" w:color="auto" w:fill="auto"/>
            <w:noWrap/>
            <w:vAlign w:val="bottom"/>
            <w:hideMark/>
          </w:tcPr>
          <w:p w14:paraId="31FB2B7F" w14:textId="77777777" w:rsidR="00D9536E" w:rsidRPr="007F5D57" w:rsidRDefault="00D9536E" w:rsidP="007F5D57">
            <w:pPr>
              <w:jc w:val="left"/>
              <w:rPr>
                <w:color w:val="000000"/>
                <w:sz w:val="20"/>
                <w:szCs w:val="20"/>
              </w:rPr>
            </w:pPr>
            <w:r w:rsidRPr="007F5D57">
              <w:rPr>
                <w:color w:val="000000"/>
                <w:sz w:val="20"/>
                <w:szCs w:val="20"/>
              </w:rPr>
              <w:t>QLD Globe</w:t>
            </w:r>
          </w:p>
        </w:tc>
      </w:tr>
      <w:tr w:rsidR="00D9536E" w14:paraId="7E9CB6EF" w14:textId="77777777" w:rsidTr="005455A9">
        <w:trPr>
          <w:trHeight w:val="320"/>
        </w:trPr>
        <w:tc>
          <w:tcPr>
            <w:tcW w:w="2419" w:type="dxa"/>
            <w:tcBorders>
              <w:top w:val="nil"/>
              <w:left w:val="nil"/>
              <w:bottom w:val="nil"/>
              <w:right w:val="nil"/>
            </w:tcBorders>
            <w:shd w:val="clear" w:color="auto" w:fill="auto"/>
            <w:noWrap/>
            <w:vAlign w:val="bottom"/>
            <w:hideMark/>
          </w:tcPr>
          <w:p w14:paraId="7229939D" w14:textId="77777777" w:rsidR="00D9536E" w:rsidRPr="007F5D57" w:rsidRDefault="00D9536E" w:rsidP="007F5D57">
            <w:pPr>
              <w:jc w:val="left"/>
              <w:rPr>
                <w:color w:val="000000"/>
                <w:sz w:val="20"/>
                <w:szCs w:val="20"/>
              </w:rPr>
            </w:pPr>
            <w:r w:rsidRPr="007F5D57">
              <w:rPr>
                <w:color w:val="000000"/>
                <w:sz w:val="20"/>
                <w:szCs w:val="20"/>
              </w:rPr>
              <w:t>New valuation</w:t>
            </w:r>
          </w:p>
        </w:tc>
        <w:tc>
          <w:tcPr>
            <w:tcW w:w="5518" w:type="dxa"/>
            <w:tcBorders>
              <w:top w:val="nil"/>
              <w:left w:val="nil"/>
              <w:bottom w:val="nil"/>
              <w:right w:val="nil"/>
            </w:tcBorders>
            <w:shd w:val="clear" w:color="auto" w:fill="auto"/>
            <w:noWrap/>
            <w:vAlign w:val="bottom"/>
            <w:hideMark/>
          </w:tcPr>
          <w:p w14:paraId="4010D091" w14:textId="77777777" w:rsidR="00D9536E" w:rsidRPr="007F5D57" w:rsidRDefault="00D9536E" w:rsidP="007F5D57">
            <w:pPr>
              <w:jc w:val="left"/>
              <w:rPr>
                <w:color w:val="000000"/>
                <w:sz w:val="20"/>
                <w:szCs w:val="20"/>
              </w:rPr>
            </w:pPr>
            <w:r w:rsidRPr="007F5D57">
              <w:rPr>
                <w:color w:val="000000"/>
                <w:sz w:val="20"/>
                <w:szCs w:val="20"/>
              </w:rPr>
              <w:t>Valuation determined in this year's valuation</w:t>
            </w:r>
          </w:p>
        </w:tc>
        <w:tc>
          <w:tcPr>
            <w:tcW w:w="1701" w:type="dxa"/>
            <w:tcBorders>
              <w:top w:val="nil"/>
              <w:left w:val="nil"/>
              <w:bottom w:val="nil"/>
              <w:right w:val="nil"/>
            </w:tcBorders>
            <w:shd w:val="clear" w:color="auto" w:fill="auto"/>
            <w:noWrap/>
            <w:vAlign w:val="bottom"/>
            <w:hideMark/>
          </w:tcPr>
          <w:p w14:paraId="601E1F1E" w14:textId="77777777" w:rsidR="00D9536E" w:rsidRPr="007F5D57" w:rsidRDefault="00D9536E" w:rsidP="007F5D57">
            <w:pPr>
              <w:jc w:val="left"/>
              <w:rPr>
                <w:color w:val="000000"/>
                <w:sz w:val="20"/>
                <w:szCs w:val="20"/>
              </w:rPr>
            </w:pPr>
            <w:r w:rsidRPr="007F5D57">
              <w:rPr>
                <w:color w:val="000000"/>
                <w:sz w:val="20"/>
                <w:szCs w:val="20"/>
              </w:rPr>
              <w:t>QLD Globe</w:t>
            </w:r>
          </w:p>
        </w:tc>
      </w:tr>
      <w:tr w:rsidR="00D9536E" w14:paraId="63504BD5" w14:textId="77777777" w:rsidTr="005455A9">
        <w:trPr>
          <w:trHeight w:val="320"/>
        </w:trPr>
        <w:tc>
          <w:tcPr>
            <w:tcW w:w="2419" w:type="dxa"/>
            <w:tcBorders>
              <w:top w:val="nil"/>
              <w:left w:val="nil"/>
              <w:bottom w:val="nil"/>
              <w:right w:val="nil"/>
            </w:tcBorders>
            <w:shd w:val="clear" w:color="auto" w:fill="auto"/>
            <w:noWrap/>
            <w:vAlign w:val="bottom"/>
            <w:hideMark/>
          </w:tcPr>
          <w:p w14:paraId="5D22E463" w14:textId="77777777" w:rsidR="00D9536E" w:rsidRPr="007F5D57" w:rsidRDefault="00D9536E" w:rsidP="007F5D57">
            <w:pPr>
              <w:jc w:val="left"/>
              <w:rPr>
                <w:color w:val="000000"/>
                <w:sz w:val="20"/>
                <w:szCs w:val="20"/>
              </w:rPr>
            </w:pPr>
            <w:r w:rsidRPr="007F5D57">
              <w:rPr>
                <w:color w:val="000000"/>
                <w:sz w:val="20"/>
                <w:szCs w:val="20"/>
              </w:rPr>
              <w:t>New valuation date</w:t>
            </w:r>
          </w:p>
        </w:tc>
        <w:tc>
          <w:tcPr>
            <w:tcW w:w="5518" w:type="dxa"/>
            <w:tcBorders>
              <w:top w:val="nil"/>
              <w:left w:val="nil"/>
              <w:bottom w:val="nil"/>
              <w:right w:val="nil"/>
            </w:tcBorders>
            <w:shd w:val="clear" w:color="auto" w:fill="auto"/>
            <w:noWrap/>
            <w:vAlign w:val="bottom"/>
            <w:hideMark/>
          </w:tcPr>
          <w:p w14:paraId="1EA083A8" w14:textId="77777777" w:rsidR="00D9536E" w:rsidRPr="007F5D57" w:rsidRDefault="00D9536E" w:rsidP="007F5D57">
            <w:pPr>
              <w:jc w:val="left"/>
              <w:rPr>
                <w:color w:val="000000"/>
                <w:sz w:val="20"/>
                <w:szCs w:val="20"/>
              </w:rPr>
            </w:pPr>
            <w:r w:rsidRPr="007F5D57">
              <w:rPr>
                <w:color w:val="000000"/>
                <w:sz w:val="20"/>
                <w:szCs w:val="20"/>
              </w:rPr>
              <w:t>Date at which this year's valuation occurred</w:t>
            </w:r>
          </w:p>
        </w:tc>
        <w:tc>
          <w:tcPr>
            <w:tcW w:w="1701" w:type="dxa"/>
            <w:tcBorders>
              <w:top w:val="nil"/>
              <w:left w:val="nil"/>
              <w:bottom w:val="nil"/>
              <w:right w:val="nil"/>
            </w:tcBorders>
            <w:shd w:val="clear" w:color="auto" w:fill="auto"/>
            <w:noWrap/>
            <w:vAlign w:val="bottom"/>
            <w:hideMark/>
          </w:tcPr>
          <w:p w14:paraId="0EE787C5" w14:textId="77777777" w:rsidR="00D9536E" w:rsidRPr="007F5D57" w:rsidRDefault="00D9536E" w:rsidP="007F5D57">
            <w:pPr>
              <w:jc w:val="left"/>
              <w:rPr>
                <w:color w:val="000000"/>
                <w:sz w:val="20"/>
                <w:szCs w:val="20"/>
              </w:rPr>
            </w:pPr>
            <w:r w:rsidRPr="007F5D57">
              <w:rPr>
                <w:color w:val="000000"/>
                <w:sz w:val="20"/>
                <w:szCs w:val="20"/>
              </w:rPr>
              <w:t>QLD Globe</w:t>
            </w:r>
          </w:p>
        </w:tc>
      </w:tr>
      <w:tr w:rsidR="00D9536E" w14:paraId="4073C70E" w14:textId="77777777" w:rsidTr="005455A9">
        <w:trPr>
          <w:trHeight w:val="320"/>
        </w:trPr>
        <w:tc>
          <w:tcPr>
            <w:tcW w:w="2419" w:type="dxa"/>
            <w:tcBorders>
              <w:top w:val="nil"/>
              <w:left w:val="nil"/>
              <w:bottom w:val="nil"/>
              <w:right w:val="nil"/>
            </w:tcBorders>
            <w:shd w:val="clear" w:color="auto" w:fill="auto"/>
            <w:noWrap/>
            <w:vAlign w:val="bottom"/>
            <w:hideMark/>
          </w:tcPr>
          <w:p w14:paraId="1A7A1E38" w14:textId="77777777" w:rsidR="00D9536E" w:rsidRPr="007F5D57" w:rsidRDefault="00D9536E" w:rsidP="007F5D57">
            <w:pPr>
              <w:jc w:val="left"/>
              <w:rPr>
                <w:color w:val="000000"/>
                <w:sz w:val="20"/>
                <w:szCs w:val="20"/>
              </w:rPr>
            </w:pPr>
            <w:r w:rsidRPr="007F5D57">
              <w:rPr>
                <w:color w:val="000000"/>
                <w:sz w:val="20"/>
                <w:szCs w:val="20"/>
              </w:rPr>
              <w:t>Property area</w:t>
            </w:r>
          </w:p>
        </w:tc>
        <w:tc>
          <w:tcPr>
            <w:tcW w:w="5518" w:type="dxa"/>
            <w:tcBorders>
              <w:top w:val="nil"/>
              <w:left w:val="nil"/>
              <w:bottom w:val="nil"/>
              <w:right w:val="nil"/>
            </w:tcBorders>
            <w:shd w:val="clear" w:color="auto" w:fill="auto"/>
            <w:noWrap/>
            <w:vAlign w:val="bottom"/>
            <w:hideMark/>
          </w:tcPr>
          <w:p w14:paraId="59E61D23" w14:textId="77777777" w:rsidR="00D9536E" w:rsidRPr="007F5D57" w:rsidRDefault="00D9536E" w:rsidP="007F5D57">
            <w:pPr>
              <w:jc w:val="left"/>
              <w:rPr>
                <w:color w:val="000000"/>
                <w:sz w:val="20"/>
                <w:szCs w:val="20"/>
              </w:rPr>
            </w:pPr>
            <w:r w:rsidRPr="007F5D57">
              <w:rPr>
                <w:color w:val="000000"/>
                <w:sz w:val="20"/>
                <w:szCs w:val="20"/>
              </w:rPr>
              <w:t>Size of the property in hectares or square metres</w:t>
            </w:r>
          </w:p>
        </w:tc>
        <w:tc>
          <w:tcPr>
            <w:tcW w:w="1701" w:type="dxa"/>
            <w:tcBorders>
              <w:top w:val="nil"/>
              <w:left w:val="nil"/>
              <w:bottom w:val="nil"/>
              <w:right w:val="nil"/>
            </w:tcBorders>
            <w:shd w:val="clear" w:color="auto" w:fill="auto"/>
            <w:noWrap/>
            <w:vAlign w:val="bottom"/>
            <w:hideMark/>
          </w:tcPr>
          <w:p w14:paraId="6BF8BCE6" w14:textId="77777777" w:rsidR="00D9536E" w:rsidRPr="007F5D57" w:rsidRDefault="00D9536E" w:rsidP="007F5D57">
            <w:pPr>
              <w:jc w:val="left"/>
              <w:rPr>
                <w:color w:val="000000"/>
                <w:sz w:val="20"/>
                <w:szCs w:val="20"/>
              </w:rPr>
            </w:pPr>
            <w:r w:rsidRPr="007F5D57">
              <w:rPr>
                <w:color w:val="000000"/>
                <w:sz w:val="20"/>
                <w:szCs w:val="20"/>
              </w:rPr>
              <w:t>QLD Globe</w:t>
            </w:r>
          </w:p>
        </w:tc>
      </w:tr>
      <w:tr w:rsidR="00D9536E" w14:paraId="02CB8286" w14:textId="77777777" w:rsidTr="005455A9">
        <w:trPr>
          <w:trHeight w:val="320"/>
        </w:trPr>
        <w:tc>
          <w:tcPr>
            <w:tcW w:w="2419" w:type="dxa"/>
            <w:tcBorders>
              <w:top w:val="nil"/>
              <w:left w:val="nil"/>
              <w:bottom w:val="nil"/>
              <w:right w:val="nil"/>
            </w:tcBorders>
            <w:shd w:val="clear" w:color="auto" w:fill="auto"/>
            <w:noWrap/>
            <w:vAlign w:val="bottom"/>
            <w:hideMark/>
          </w:tcPr>
          <w:p w14:paraId="34A83589" w14:textId="77777777" w:rsidR="00D9536E" w:rsidRPr="007F5D57" w:rsidRDefault="00D9536E" w:rsidP="007F5D57">
            <w:pPr>
              <w:jc w:val="left"/>
              <w:rPr>
                <w:color w:val="000000"/>
                <w:sz w:val="20"/>
                <w:szCs w:val="20"/>
              </w:rPr>
            </w:pPr>
            <w:r w:rsidRPr="007F5D57">
              <w:rPr>
                <w:color w:val="000000"/>
                <w:sz w:val="20"/>
                <w:szCs w:val="20"/>
              </w:rPr>
              <w:t>Valuation Rate</w:t>
            </w:r>
          </w:p>
        </w:tc>
        <w:tc>
          <w:tcPr>
            <w:tcW w:w="5518" w:type="dxa"/>
            <w:tcBorders>
              <w:top w:val="nil"/>
              <w:left w:val="nil"/>
              <w:bottom w:val="nil"/>
              <w:right w:val="nil"/>
            </w:tcBorders>
            <w:shd w:val="clear" w:color="auto" w:fill="auto"/>
            <w:noWrap/>
            <w:vAlign w:val="bottom"/>
            <w:hideMark/>
          </w:tcPr>
          <w:p w14:paraId="341A8D41" w14:textId="77777777" w:rsidR="00D9536E" w:rsidRPr="007F5D57" w:rsidRDefault="00D9536E" w:rsidP="007F5D57">
            <w:pPr>
              <w:jc w:val="left"/>
              <w:rPr>
                <w:color w:val="000000"/>
                <w:sz w:val="20"/>
                <w:szCs w:val="20"/>
              </w:rPr>
            </w:pPr>
            <w:r w:rsidRPr="007F5D57">
              <w:rPr>
                <w:color w:val="000000"/>
                <w:sz w:val="20"/>
                <w:szCs w:val="20"/>
              </w:rPr>
              <w:t>Rate per hectare or square metres</w:t>
            </w:r>
          </w:p>
        </w:tc>
        <w:tc>
          <w:tcPr>
            <w:tcW w:w="1701" w:type="dxa"/>
            <w:tcBorders>
              <w:top w:val="nil"/>
              <w:left w:val="nil"/>
              <w:bottom w:val="nil"/>
              <w:right w:val="nil"/>
            </w:tcBorders>
            <w:shd w:val="clear" w:color="auto" w:fill="auto"/>
            <w:noWrap/>
            <w:vAlign w:val="bottom"/>
            <w:hideMark/>
          </w:tcPr>
          <w:p w14:paraId="79A9D133" w14:textId="77777777" w:rsidR="00D9536E" w:rsidRPr="007F5D57" w:rsidRDefault="00D9536E" w:rsidP="007F5D57">
            <w:pPr>
              <w:jc w:val="left"/>
              <w:rPr>
                <w:color w:val="000000"/>
                <w:sz w:val="20"/>
                <w:szCs w:val="20"/>
              </w:rPr>
            </w:pPr>
            <w:r w:rsidRPr="007F5D57">
              <w:rPr>
                <w:color w:val="000000"/>
                <w:sz w:val="20"/>
                <w:szCs w:val="20"/>
              </w:rPr>
              <w:t>QLD Globe</w:t>
            </w:r>
          </w:p>
        </w:tc>
      </w:tr>
      <w:tr w:rsidR="00D9536E" w14:paraId="2EF035C2" w14:textId="77777777" w:rsidTr="005455A9">
        <w:trPr>
          <w:trHeight w:val="320"/>
        </w:trPr>
        <w:tc>
          <w:tcPr>
            <w:tcW w:w="2419" w:type="dxa"/>
            <w:tcBorders>
              <w:top w:val="nil"/>
              <w:left w:val="nil"/>
              <w:bottom w:val="nil"/>
              <w:right w:val="nil"/>
            </w:tcBorders>
            <w:shd w:val="clear" w:color="auto" w:fill="auto"/>
            <w:noWrap/>
            <w:vAlign w:val="bottom"/>
            <w:hideMark/>
          </w:tcPr>
          <w:p w14:paraId="545AFEDC" w14:textId="77777777" w:rsidR="00D9536E" w:rsidRPr="007F5D57" w:rsidRDefault="00D9536E" w:rsidP="007F5D57">
            <w:pPr>
              <w:jc w:val="left"/>
              <w:rPr>
                <w:color w:val="000000"/>
                <w:sz w:val="20"/>
                <w:szCs w:val="20"/>
              </w:rPr>
            </w:pPr>
            <w:r w:rsidRPr="007F5D57">
              <w:rPr>
                <w:color w:val="000000"/>
                <w:sz w:val="20"/>
                <w:szCs w:val="20"/>
              </w:rPr>
              <w:t>Locality</w:t>
            </w:r>
          </w:p>
        </w:tc>
        <w:tc>
          <w:tcPr>
            <w:tcW w:w="5518" w:type="dxa"/>
            <w:tcBorders>
              <w:top w:val="nil"/>
              <w:left w:val="nil"/>
              <w:bottom w:val="nil"/>
              <w:right w:val="nil"/>
            </w:tcBorders>
            <w:shd w:val="clear" w:color="auto" w:fill="auto"/>
            <w:noWrap/>
            <w:vAlign w:val="bottom"/>
            <w:hideMark/>
          </w:tcPr>
          <w:p w14:paraId="41F00FE5" w14:textId="77777777" w:rsidR="00D9536E" w:rsidRPr="007F5D57" w:rsidRDefault="00D9536E" w:rsidP="007F5D57">
            <w:pPr>
              <w:jc w:val="left"/>
              <w:rPr>
                <w:color w:val="000000"/>
                <w:sz w:val="20"/>
                <w:szCs w:val="20"/>
              </w:rPr>
            </w:pPr>
            <w:r w:rsidRPr="007F5D57">
              <w:rPr>
                <w:color w:val="000000"/>
                <w:sz w:val="20"/>
                <w:szCs w:val="20"/>
              </w:rPr>
              <w:t>Geographical area where the property is located</w:t>
            </w:r>
          </w:p>
        </w:tc>
        <w:tc>
          <w:tcPr>
            <w:tcW w:w="1701" w:type="dxa"/>
            <w:tcBorders>
              <w:top w:val="nil"/>
              <w:left w:val="nil"/>
              <w:bottom w:val="nil"/>
              <w:right w:val="nil"/>
            </w:tcBorders>
            <w:shd w:val="clear" w:color="auto" w:fill="auto"/>
            <w:noWrap/>
            <w:vAlign w:val="bottom"/>
            <w:hideMark/>
          </w:tcPr>
          <w:p w14:paraId="319EAA18" w14:textId="77777777" w:rsidR="00D9536E" w:rsidRPr="007F5D57" w:rsidRDefault="00D9536E" w:rsidP="007F5D57">
            <w:pPr>
              <w:jc w:val="left"/>
              <w:rPr>
                <w:color w:val="000000"/>
                <w:sz w:val="20"/>
                <w:szCs w:val="20"/>
              </w:rPr>
            </w:pPr>
            <w:r w:rsidRPr="007F5D57">
              <w:rPr>
                <w:color w:val="000000"/>
                <w:sz w:val="20"/>
                <w:szCs w:val="20"/>
              </w:rPr>
              <w:t>QLD Globe</w:t>
            </w:r>
          </w:p>
        </w:tc>
      </w:tr>
      <w:tr w:rsidR="00D9536E" w14:paraId="43023659" w14:textId="77777777" w:rsidTr="005455A9">
        <w:trPr>
          <w:trHeight w:val="320"/>
        </w:trPr>
        <w:tc>
          <w:tcPr>
            <w:tcW w:w="2419" w:type="dxa"/>
            <w:tcBorders>
              <w:top w:val="nil"/>
              <w:left w:val="nil"/>
              <w:bottom w:val="nil"/>
              <w:right w:val="nil"/>
            </w:tcBorders>
            <w:shd w:val="clear" w:color="auto" w:fill="auto"/>
            <w:noWrap/>
            <w:vAlign w:val="bottom"/>
            <w:hideMark/>
          </w:tcPr>
          <w:p w14:paraId="504B218D" w14:textId="77777777" w:rsidR="00D9536E" w:rsidRPr="007F5D57" w:rsidRDefault="00D9536E" w:rsidP="007F5D57">
            <w:pPr>
              <w:jc w:val="left"/>
              <w:rPr>
                <w:color w:val="000000"/>
                <w:sz w:val="20"/>
                <w:szCs w:val="20"/>
              </w:rPr>
            </w:pPr>
            <w:r w:rsidRPr="007F5D57">
              <w:rPr>
                <w:color w:val="000000"/>
                <w:sz w:val="20"/>
                <w:szCs w:val="20"/>
              </w:rPr>
              <w:t>Local government authority</w:t>
            </w:r>
          </w:p>
        </w:tc>
        <w:tc>
          <w:tcPr>
            <w:tcW w:w="5518" w:type="dxa"/>
            <w:tcBorders>
              <w:top w:val="nil"/>
              <w:left w:val="nil"/>
              <w:bottom w:val="nil"/>
              <w:right w:val="nil"/>
            </w:tcBorders>
            <w:shd w:val="clear" w:color="auto" w:fill="auto"/>
            <w:noWrap/>
            <w:vAlign w:val="bottom"/>
            <w:hideMark/>
          </w:tcPr>
          <w:p w14:paraId="6D530266" w14:textId="77777777" w:rsidR="00D9536E" w:rsidRPr="007F5D57" w:rsidRDefault="00D9536E" w:rsidP="007F5D57">
            <w:pPr>
              <w:jc w:val="left"/>
              <w:rPr>
                <w:color w:val="000000"/>
                <w:sz w:val="20"/>
                <w:szCs w:val="20"/>
              </w:rPr>
            </w:pPr>
            <w:r w:rsidRPr="007F5D57">
              <w:rPr>
                <w:color w:val="000000"/>
                <w:sz w:val="20"/>
                <w:szCs w:val="20"/>
              </w:rPr>
              <w:t>Name of the local government authority that governs the area.</w:t>
            </w:r>
          </w:p>
        </w:tc>
        <w:tc>
          <w:tcPr>
            <w:tcW w:w="1701" w:type="dxa"/>
            <w:tcBorders>
              <w:top w:val="nil"/>
              <w:left w:val="nil"/>
              <w:bottom w:val="nil"/>
              <w:right w:val="nil"/>
            </w:tcBorders>
            <w:shd w:val="clear" w:color="auto" w:fill="auto"/>
            <w:noWrap/>
            <w:vAlign w:val="bottom"/>
            <w:hideMark/>
          </w:tcPr>
          <w:p w14:paraId="248FFDA4" w14:textId="77777777" w:rsidR="00D9536E" w:rsidRPr="007F5D57" w:rsidRDefault="00D9536E" w:rsidP="007F5D57">
            <w:pPr>
              <w:jc w:val="left"/>
              <w:rPr>
                <w:color w:val="000000"/>
                <w:sz w:val="20"/>
                <w:szCs w:val="20"/>
              </w:rPr>
            </w:pPr>
            <w:r w:rsidRPr="007F5D57">
              <w:rPr>
                <w:color w:val="000000"/>
                <w:sz w:val="20"/>
                <w:szCs w:val="20"/>
              </w:rPr>
              <w:t>QLD Globe</w:t>
            </w:r>
          </w:p>
        </w:tc>
      </w:tr>
      <w:tr w:rsidR="00D9536E" w14:paraId="3BF9D720" w14:textId="77777777" w:rsidTr="005455A9">
        <w:trPr>
          <w:trHeight w:val="320"/>
        </w:trPr>
        <w:tc>
          <w:tcPr>
            <w:tcW w:w="2419" w:type="dxa"/>
            <w:tcBorders>
              <w:top w:val="nil"/>
              <w:left w:val="nil"/>
              <w:bottom w:val="nil"/>
              <w:right w:val="nil"/>
            </w:tcBorders>
            <w:shd w:val="clear" w:color="auto" w:fill="auto"/>
            <w:noWrap/>
            <w:vAlign w:val="bottom"/>
            <w:hideMark/>
          </w:tcPr>
          <w:p w14:paraId="46EBCFE5" w14:textId="77777777" w:rsidR="00D9536E" w:rsidRPr="007F5D57" w:rsidRDefault="00D9536E" w:rsidP="007F5D57">
            <w:pPr>
              <w:jc w:val="left"/>
              <w:rPr>
                <w:color w:val="000000"/>
                <w:sz w:val="20"/>
                <w:szCs w:val="20"/>
              </w:rPr>
            </w:pPr>
            <w:r w:rsidRPr="007F5D57">
              <w:rPr>
                <w:color w:val="000000"/>
                <w:sz w:val="20"/>
                <w:szCs w:val="20"/>
              </w:rPr>
              <w:t>Valuation methodology</w:t>
            </w:r>
          </w:p>
        </w:tc>
        <w:tc>
          <w:tcPr>
            <w:tcW w:w="5518" w:type="dxa"/>
            <w:tcBorders>
              <w:top w:val="nil"/>
              <w:left w:val="nil"/>
              <w:bottom w:val="nil"/>
              <w:right w:val="nil"/>
            </w:tcBorders>
            <w:shd w:val="clear" w:color="auto" w:fill="auto"/>
            <w:noWrap/>
            <w:vAlign w:val="bottom"/>
            <w:hideMark/>
          </w:tcPr>
          <w:p w14:paraId="5F935CAE" w14:textId="77777777" w:rsidR="00D9536E" w:rsidRPr="007F5D57" w:rsidRDefault="00D9536E" w:rsidP="007F5D57">
            <w:pPr>
              <w:jc w:val="left"/>
              <w:rPr>
                <w:color w:val="000000"/>
                <w:sz w:val="20"/>
                <w:szCs w:val="20"/>
              </w:rPr>
            </w:pPr>
            <w:r w:rsidRPr="007F5D57">
              <w:rPr>
                <w:color w:val="000000"/>
                <w:sz w:val="20"/>
                <w:szCs w:val="20"/>
              </w:rPr>
              <w:t>Methodology used for valuation (unimproved or site value)</w:t>
            </w:r>
          </w:p>
        </w:tc>
        <w:tc>
          <w:tcPr>
            <w:tcW w:w="1701" w:type="dxa"/>
            <w:tcBorders>
              <w:top w:val="nil"/>
              <w:left w:val="nil"/>
              <w:bottom w:val="nil"/>
              <w:right w:val="nil"/>
            </w:tcBorders>
            <w:shd w:val="clear" w:color="auto" w:fill="auto"/>
            <w:noWrap/>
            <w:vAlign w:val="bottom"/>
            <w:hideMark/>
          </w:tcPr>
          <w:p w14:paraId="33576CE8" w14:textId="77777777" w:rsidR="00D9536E" w:rsidRPr="007F5D57" w:rsidRDefault="00D9536E" w:rsidP="007F5D57">
            <w:pPr>
              <w:jc w:val="left"/>
              <w:rPr>
                <w:color w:val="000000"/>
                <w:sz w:val="20"/>
                <w:szCs w:val="20"/>
              </w:rPr>
            </w:pPr>
            <w:r w:rsidRPr="007F5D57">
              <w:rPr>
                <w:color w:val="000000"/>
                <w:sz w:val="20"/>
                <w:szCs w:val="20"/>
              </w:rPr>
              <w:t>QLD Globe</w:t>
            </w:r>
          </w:p>
        </w:tc>
      </w:tr>
      <w:tr w:rsidR="00D9536E" w14:paraId="5053141E" w14:textId="77777777" w:rsidTr="005455A9">
        <w:trPr>
          <w:trHeight w:val="320"/>
        </w:trPr>
        <w:tc>
          <w:tcPr>
            <w:tcW w:w="2419" w:type="dxa"/>
            <w:tcBorders>
              <w:top w:val="nil"/>
              <w:left w:val="nil"/>
              <w:bottom w:val="nil"/>
              <w:right w:val="nil"/>
            </w:tcBorders>
            <w:shd w:val="clear" w:color="auto" w:fill="auto"/>
            <w:noWrap/>
            <w:vAlign w:val="bottom"/>
            <w:hideMark/>
          </w:tcPr>
          <w:p w14:paraId="7ABEAE1A" w14:textId="0FA2DA90" w:rsidR="00D9536E" w:rsidRPr="007F5D57" w:rsidRDefault="00D9536E" w:rsidP="007F5D57">
            <w:pPr>
              <w:jc w:val="left"/>
              <w:rPr>
                <w:color w:val="000000"/>
                <w:sz w:val="20"/>
                <w:szCs w:val="20"/>
              </w:rPr>
            </w:pPr>
            <w:r w:rsidRPr="007F5D57">
              <w:rPr>
                <w:color w:val="000000"/>
                <w:sz w:val="20"/>
                <w:szCs w:val="20"/>
              </w:rPr>
              <w:t>WithinPrecinct</w:t>
            </w:r>
          </w:p>
        </w:tc>
        <w:tc>
          <w:tcPr>
            <w:tcW w:w="5518" w:type="dxa"/>
            <w:tcBorders>
              <w:top w:val="nil"/>
              <w:left w:val="nil"/>
              <w:bottom w:val="nil"/>
              <w:right w:val="nil"/>
            </w:tcBorders>
            <w:shd w:val="clear" w:color="auto" w:fill="auto"/>
            <w:noWrap/>
            <w:vAlign w:val="bottom"/>
            <w:hideMark/>
          </w:tcPr>
          <w:p w14:paraId="002A2697" w14:textId="77777777" w:rsidR="00D9536E" w:rsidRPr="007F5D57" w:rsidRDefault="00D9536E" w:rsidP="007F5D57">
            <w:pPr>
              <w:jc w:val="left"/>
              <w:rPr>
                <w:color w:val="000000"/>
                <w:sz w:val="20"/>
                <w:szCs w:val="20"/>
              </w:rPr>
            </w:pPr>
            <w:r w:rsidRPr="007F5D57">
              <w:rPr>
                <w:color w:val="000000"/>
                <w:sz w:val="20"/>
                <w:szCs w:val="20"/>
              </w:rPr>
              <w:t>Dummy variable indicating whether the property is within the precinct</w:t>
            </w:r>
          </w:p>
        </w:tc>
        <w:tc>
          <w:tcPr>
            <w:tcW w:w="1701" w:type="dxa"/>
            <w:tcBorders>
              <w:top w:val="nil"/>
              <w:left w:val="nil"/>
              <w:bottom w:val="nil"/>
              <w:right w:val="nil"/>
            </w:tcBorders>
            <w:shd w:val="clear" w:color="auto" w:fill="auto"/>
            <w:noWrap/>
            <w:vAlign w:val="bottom"/>
            <w:hideMark/>
          </w:tcPr>
          <w:p w14:paraId="6C172E2B" w14:textId="77777777" w:rsidR="00D9536E" w:rsidRPr="007F5D57" w:rsidRDefault="00D9536E" w:rsidP="007F5D57">
            <w:pPr>
              <w:jc w:val="left"/>
              <w:rPr>
                <w:color w:val="000000"/>
                <w:sz w:val="20"/>
                <w:szCs w:val="20"/>
              </w:rPr>
            </w:pPr>
            <w:r w:rsidRPr="007F5D57">
              <w:rPr>
                <w:color w:val="000000"/>
                <w:sz w:val="20"/>
                <w:szCs w:val="20"/>
              </w:rPr>
              <w:t>Feature-engineered</w:t>
            </w:r>
          </w:p>
        </w:tc>
      </w:tr>
      <w:tr w:rsidR="00D9536E" w14:paraId="7F1C9BD7" w14:textId="77777777" w:rsidTr="005455A9">
        <w:trPr>
          <w:trHeight w:val="320"/>
        </w:trPr>
        <w:tc>
          <w:tcPr>
            <w:tcW w:w="2419" w:type="dxa"/>
            <w:tcBorders>
              <w:top w:val="nil"/>
              <w:left w:val="nil"/>
              <w:bottom w:val="nil"/>
              <w:right w:val="nil"/>
            </w:tcBorders>
            <w:shd w:val="clear" w:color="auto" w:fill="auto"/>
            <w:noWrap/>
            <w:vAlign w:val="bottom"/>
            <w:hideMark/>
          </w:tcPr>
          <w:p w14:paraId="1E37ABBA" w14:textId="77777777" w:rsidR="00D9536E" w:rsidRPr="007F5D57" w:rsidRDefault="00D9536E" w:rsidP="007F5D57">
            <w:pPr>
              <w:jc w:val="left"/>
              <w:rPr>
                <w:color w:val="000000"/>
                <w:sz w:val="20"/>
                <w:szCs w:val="20"/>
              </w:rPr>
            </w:pPr>
            <w:r w:rsidRPr="007F5D57">
              <w:rPr>
                <w:color w:val="000000"/>
                <w:sz w:val="20"/>
                <w:szCs w:val="20"/>
              </w:rPr>
              <w:t>Concentric Ring</w:t>
            </w:r>
          </w:p>
        </w:tc>
        <w:tc>
          <w:tcPr>
            <w:tcW w:w="5518" w:type="dxa"/>
            <w:tcBorders>
              <w:top w:val="nil"/>
              <w:left w:val="nil"/>
              <w:bottom w:val="nil"/>
              <w:right w:val="nil"/>
            </w:tcBorders>
            <w:shd w:val="clear" w:color="auto" w:fill="auto"/>
            <w:noWrap/>
            <w:vAlign w:val="bottom"/>
            <w:hideMark/>
          </w:tcPr>
          <w:p w14:paraId="58C3B677" w14:textId="77777777" w:rsidR="00D9536E" w:rsidRPr="007F5D57" w:rsidRDefault="00D9536E" w:rsidP="007F5D57">
            <w:pPr>
              <w:jc w:val="left"/>
              <w:rPr>
                <w:color w:val="000000"/>
                <w:sz w:val="20"/>
                <w:szCs w:val="20"/>
              </w:rPr>
            </w:pPr>
            <w:r w:rsidRPr="007F5D57">
              <w:rPr>
                <w:color w:val="000000"/>
                <w:sz w:val="20"/>
                <w:szCs w:val="20"/>
              </w:rPr>
              <w:t>Categorical variable based on distance to the megaproject</w:t>
            </w:r>
          </w:p>
        </w:tc>
        <w:tc>
          <w:tcPr>
            <w:tcW w:w="1701" w:type="dxa"/>
            <w:tcBorders>
              <w:top w:val="nil"/>
              <w:left w:val="nil"/>
              <w:bottom w:val="nil"/>
              <w:right w:val="nil"/>
            </w:tcBorders>
            <w:shd w:val="clear" w:color="auto" w:fill="auto"/>
            <w:noWrap/>
            <w:vAlign w:val="bottom"/>
            <w:hideMark/>
          </w:tcPr>
          <w:p w14:paraId="673BE066" w14:textId="77777777" w:rsidR="00D9536E" w:rsidRPr="007F5D57" w:rsidRDefault="00D9536E" w:rsidP="007F5D57">
            <w:pPr>
              <w:jc w:val="left"/>
              <w:rPr>
                <w:color w:val="000000"/>
                <w:sz w:val="20"/>
                <w:szCs w:val="20"/>
              </w:rPr>
            </w:pPr>
            <w:r w:rsidRPr="007F5D57">
              <w:rPr>
                <w:color w:val="000000"/>
                <w:sz w:val="20"/>
                <w:szCs w:val="20"/>
              </w:rPr>
              <w:t>Feature-engineered</w:t>
            </w:r>
          </w:p>
        </w:tc>
      </w:tr>
    </w:tbl>
    <w:p w14:paraId="729E67EC" w14:textId="77777777" w:rsidR="003605E1" w:rsidRDefault="00211575" w:rsidP="00AF7CE2">
      <w:pPr>
        <w:pStyle w:val="ReferenceList"/>
        <w:keepNext/>
      </w:pPr>
      <w:r w:rsidRPr="007F5D57">
        <w:rPr>
          <w:color w:val="000000" w:themeColor="text1"/>
          <w:szCs w:val="22"/>
          <w:shd w:val="clear" w:color="auto" w:fill="FFFFFF"/>
        </w:rPr>
        <w:t>As stipulated in the research question, we test the hypothesis that unimproved site values closer to the development project are valued higher in order to extract a value premium.</w:t>
      </w:r>
      <w:r w:rsidR="00A5066B" w:rsidRPr="007F5D57">
        <w:rPr>
          <w:color w:val="000000" w:themeColor="text1"/>
          <w:szCs w:val="22"/>
          <w:shd w:val="clear" w:color="auto" w:fill="FFFFFF"/>
        </w:rPr>
        <w:t xml:space="preserve"> Overall, 610 observations were collected within a one-kilometre radius of the site. </w:t>
      </w:r>
      <w:r w:rsidRPr="007F5D57">
        <w:rPr>
          <w:color w:val="000000" w:themeColor="text1"/>
          <w:szCs w:val="22"/>
          <w:shd w:val="clear" w:color="auto" w:fill="FFFFFF"/>
        </w:rPr>
        <w:t xml:space="preserve">Categorical variables were constructed to design concentric </w:t>
      </w:r>
      <w:r w:rsidRPr="007F5D57">
        <w:rPr>
          <w:color w:val="000000" w:themeColor="text1"/>
          <w:szCs w:val="22"/>
          <w:shd w:val="clear" w:color="auto" w:fill="FFFFFF"/>
        </w:rPr>
        <w:lastRenderedPageBreak/>
        <w:t>rings around the precinct using QWB coordinates.</w:t>
      </w:r>
      <w:r w:rsidR="00A5066B" w:rsidRPr="007F5D57">
        <w:rPr>
          <w:color w:val="000000" w:themeColor="text1"/>
          <w:szCs w:val="22"/>
          <w:shd w:val="clear" w:color="auto" w:fill="FFFFFF"/>
        </w:rPr>
        <w:t xml:space="preserve"> </w:t>
      </w:r>
      <w:r w:rsidRPr="007F5D57">
        <w:rPr>
          <w:color w:val="000000" w:themeColor="text1"/>
        </w:rPr>
        <w:t xml:space="preserve">The distribution of the Current Valuation in AUD shows </w:t>
      </w:r>
      <w:r>
        <w:t>that the underlying data is highly skewed, with most properties having a valuation below 20 million AUD.</w:t>
      </w:r>
      <w:r w:rsidR="00AF7CE2">
        <w:t xml:space="preserve"> </w:t>
      </w:r>
    </w:p>
    <w:p w14:paraId="1CF2118F" w14:textId="7ABE53B6" w:rsidR="00AF7CE2" w:rsidRDefault="00AF7CE2" w:rsidP="00AF7CE2">
      <w:pPr>
        <w:pStyle w:val="ReferenceList"/>
        <w:keepNext/>
      </w:pPr>
      <w:r>
        <w:rPr>
          <w:noProof/>
        </w:rPr>
        <w:drawing>
          <wp:inline distT="0" distB="0" distL="0" distR="0" wp14:anchorId="78B30D00" wp14:editId="08069F5B">
            <wp:extent cx="3902043" cy="2341307"/>
            <wp:effectExtent l="0" t="0" r="0" b="0"/>
            <wp:docPr id="12263090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309092" name="Picture 1226309092"/>
                    <pic:cNvPicPr/>
                  </pic:nvPicPr>
                  <pic:blipFill>
                    <a:blip r:embed="rId11"/>
                    <a:stretch>
                      <a:fillRect/>
                    </a:stretch>
                  </pic:blipFill>
                  <pic:spPr>
                    <a:xfrm>
                      <a:off x="0" y="0"/>
                      <a:ext cx="4018990" cy="2411478"/>
                    </a:xfrm>
                    <a:prstGeom prst="rect">
                      <a:avLst/>
                    </a:prstGeom>
                  </pic:spPr>
                </pic:pic>
              </a:graphicData>
            </a:graphic>
          </wp:inline>
        </w:drawing>
      </w:r>
    </w:p>
    <w:p w14:paraId="0D9860A3" w14:textId="5E97DDD0" w:rsidR="00AF7CE2" w:rsidRPr="005455A9" w:rsidRDefault="00AF7CE2" w:rsidP="00AF7CE2">
      <w:pPr>
        <w:pStyle w:val="Caption"/>
        <w:rPr>
          <w:sz w:val="20"/>
        </w:rPr>
      </w:pPr>
      <w:r w:rsidRPr="005455A9">
        <w:rPr>
          <w:sz w:val="20"/>
        </w:rPr>
        <w:t xml:space="preserve">Figure </w:t>
      </w:r>
      <w:r>
        <w:rPr>
          <w:sz w:val="20"/>
        </w:rPr>
        <w:t>1</w:t>
      </w:r>
      <w:r w:rsidRPr="005455A9">
        <w:rPr>
          <w:sz w:val="20"/>
        </w:rPr>
        <w:t xml:space="preserve"> Distribution of Land Values</w:t>
      </w:r>
    </w:p>
    <w:p w14:paraId="5071EA60" w14:textId="675EDC41" w:rsidR="00AF7CE2" w:rsidRPr="007F5D57" w:rsidRDefault="00A5066B" w:rsidP="007F5D57">
      <w:pPr>
        <w:pStyle w:val="ReferenceList"/>
        <w:keepNext/>
        <w:rPr>
          <w:color w:val="000000" w:themeColor="text1"/>
          <w:szCs w:val="22"/>
          <w:shd w:val="clear" w:color="auto" w:fill="FFFFFF"/>
        </w:rPr>
      </w:pPr>
      <w:r w:rsidRPr="007F5D57">
        <w:rPr>
          <w:color w:val="000000" w:themeColor="text1"/>
          <w:szCs w:val="22"/>
          <w:shd w:val="clear" w:color="auto" w:fill="FFFFFF"/>
        </w:rPr>
        <w:t xml:space="preserve">Property Area and current valuation (A$) had to be converted to numeric types for further analysis. </w:t>
      </w:r>
      <w:r w:rsidR="00BC0E14" w:rsidRPr="007F5D57">
        <w:rPr>
          <w:color w:val="000000" w:themeColor="text1"/>
          <w:szCs w:val="22"/>
          <w:shd w:val="clear" w:color="auto" w:fill="FFFFFF"/>
        </w:rPr>
        <w:t>The boxplots</w:t>
      </w:r>
      <w:r w:rsidR="00BC0E14">
        <w:rPr>
          <w:color w:val="000000" w:themeColor="text1"/>
          <w:szCs w:val="22"/>
          <w:shd w:val="clear" w:color="auto" w:fill="FFFFFF"/>
        </w:rPr>
        <w:t xml:space="preserve"> in Figure 2</w:t>
      </w:r>
      <w:r w:rsidR="00BC0E14" w:rsidRPr="007F5D57">
        <w:rPr>
          <w:color w:val="000000" w:themeColor="text1"/>
          <w:szCs w:val="22"/>
          <w:shd w:val="clear" w:color="auto" w:fill="FFFFFF"/>
        </w:rPr>
        <w:t xml:space="preserve"> show that the median valuation is highest for </w:t>
      </w:r>
      <w:r w:rsidR="00BC0E14">
        <w:rPr>
          <w:color w:val="000000" w:themeColor="text1"/>
          <w:szCs w:val="22"/>
          <w:shd w:val="clear" w:color="auto" w:fill="FFFFFF"/>
        </w:rPr>
        <w:t>sites</w:t>
      </w:r>
      <w:r w:rsidR="00BC0E14" w:rsidRPr="007F5D57">
        <w:rPr>
          <w:color w:val="000000" w:themeColor="text1"/>
          <w:szCs w:val="22"/>
          <w:shd w:val="clear" w:color="auto" w:fill="FFFFFF"/>
        </w:rPr>
        <w:t xml:space="preserve"> within 400 m of the </w:t>
      </w:r>
      <w:r w:rsidR="00BC0E14">
        <w:rPr>
          <w:color w:val="000000" w:themeColor="text1"/>
          <w:szCs w:val="22"/>
          <w:shd w:val="clear" w:color="auto" w:fill="FFFFFF"/>
        </w:rPr>
        <w:t>project</w:t>
      </w:r>
      <w:r w:rsidR="00BC0E14" w:rsidRPr="007F5D57">
        <w:rPr>
          <w:color w:val="000000" w:themeColor="text1"/>
          <w:szCs w:val="22"/>
          <w:shd w:val="clear" w:color="auto" w:fill="FFFFFF"/>
        </w:rPr>
        <w:t>.</w:t>
      </w:r>
      <w:r w:rsidR="000D0B16" w:rsidRPr="007F5D57">
        <w:rPr>
          <w:color w:val="000000" w:themeColor="text1"/>
          <w:szCs w:val="22"/>
          <w:shd w:val="clear" w:color="auto" w:fill="FFFFFF"/>
        </w:rPr>
        <w:t xml:space="preserve"> </w:t>
      </w:r>
      <w:r w:rsidR="00BC0E14" w:rsidRPr="007F5D57">
        <w:rPr>
          <w:color w:val="000000" w:themeColor="text1"/>
          <w:szCs w:val="22"/>
          <w:shd w:val="clear" w:color="auto" w:fill="FFFFFF"/>
        </w:rPr>
        <w:t xml:space="preserve">This means that half of the </w:t>
      </w:r>
      <w:r w:rsidR="00BC0E14">
        <w:rPr>
          <w:color w:val="000000" w:themeColor="text1"/>
          <w:szCs w:val="22"/>
          <w:shd w:val="clear" w:color="auto" w:fill="FFFFFF"/>
        </w:rPr>
        <w:t>site values</w:t>
      </w:r>
      <w:r w:rsidR="00BC0E14" w:rsidRPr="007F5D57">
        <w:rPr>
          <w:color w:val="000000" w:themeColor="text1"/>
          <w:szCs w:val="22"/>
          <w:shd w:val="clear" w:color="auto" w:fill="FFFFFF"/>
        </w:rPr>
        <w:t xml:space="preserve"> within this ring had a higher valuation than the</w:t>
      </w:r>
      <w:r w:rsidR="00BC0E14">
        <w:rPr>
          <w:color w:val="000000" w:themeColor="text1"/>
          <w:szCs w:val="22"/>
          <w:shd w:val="clear" w:color="auto" w:fill="FFFFFF"/>
        </w:rPr>
        <w:t xml:space="preserve"> statistical </w:t>
      </w:r>
      <w:r w:rsidR="00BC0E14" w:rsidRPr="00BC0E14">
        <w:rPr>
          <w:color w:val="000000" w:themeColor="text1"/>
          <w:szCs w:val="22"/>
          <w:shd w:val="clear" w:color="auto" w:fill="FFFFFF"/>
        </w:rPr>
        <w:t>median</w:t>
      </w:r>
      <w:r w:rsidR="00BC0E14" w:rsidRPr="007F5D57">
        <w:rPr>
          <w:color w:val="000000" w:themeColor="text1"/>
          <w:szCs w:val="22"/>
          <w:shd w:val="clear" w:color="auto" w:fill="FFFFFF"/>
        </w:rPr>
        <w:t>.</w:t>
      </w:r>
      <w:r w:rsidR="000D0B16" w:rsidRPr="007F5D57">
        <w:rPr>
          <w:color w:val="000000" w:themeColor="text1"/>
          <w:szCs w:val="22"/>
          <w:shd w:val="clear" w:color="auto" w:fill="FFFFFF"/>
        </w:rPr>
        <w:t xml:space="preserve"> </w:t>
      </w:r>
      <w:r w:rsidR="00BC0E14" w:rsidRPr="007F5D57">
        <w:rPr>
          <w:color w:val="000000" w:themeColor="text1"/>
          <w:szCs w:val="22"/>
          <w:shd w:val="clear" w:color="auto" w:fill="FFFFFF"/>
        </w:rPr>
        <w:t xml:space="preserve">The median valuation decreases for </w:t>
      </w:r>
      <w:r w:rsidR="00BC0E14">
        <w:rPr>
          <w:color w:val="000000" w:themeColor="text1"/>
          <w:szCs w:val="22"/>
          <w:shd w:val="clear" w:color="auto" w:fill="FFFFFF"/>
        </w:rPr>
        <w:t xml:space="preserve">sites </w:t>
      </w:r>
      <w:r w:rsidR="00BC0E14" w:rsidRPr="007F5D57">
        <w:rPr>
          <w:color w:val="000000" w:themeColor="text1"/>
          <w:szCs w:val="22"/>
          <w:shd w:val="clear" w:color="auto" w:fill="FFFFFF"/>
        </w:rPr>
        <w:t xml:space="preserve">further away from the </w:t>
      </w:r>
      <w:r w:rsidR="00BC0E14">
        <w:rPr>
          <w:color w:val="000000" w:themeColor="text1"/>
          <w:szCs w:val="22"/>
          <w:shd w:val="clear" w:color="auto" w:fill="FFFFFF"/>
        </w:rPr>
        <w:t xml:space="preserve">project. </w:t>
      </w:r>
      <w:r w:rsidR="000D0B16" w:rsidRPr="007F5D57">
        <w:rPr>
          <w:color w:val="000000" w:themeColor="text1"/>
          <w:szCs w:val="22"/>
          <w:shd w:val="clear" w:color="auto" w:fill="FFFFFF"/>
        </w:rPr>
        <w:t>There are a few outliers in the data</w:t>
      </w:r>
      <w:r w:rsidR="00BC0E14">
        <w:rPr>
          <w:color w:val="000000" w:themeColor="text1"/>
          <w:szCs w:val="22"/>
          <w:shd w:val="clear" w:color="auto" w:fill="FFFFFF"/>
        </w:rPr>
        <w:t>.</w:t>
      </w:r>
    </w:p>
    <w:p w14:paraId="750FB521" w14:textId="77777777" w:rsidR="00AF7CE2" w:rsidRPr="005455A9" w:rsidRDefault="00AF7CE2" w:rsidP="00AF7CE2">
      <w:pPr>
        <w:pStyle w:val="ReferenceList"/>
        <w:keepNext/>
        <w:rPr>
          <w:sz w:val="20"/>
          <w:szCs w:val="20"/>
        </w:rPr>
      </w:pPr>
      <w:r w:rsidRPr="005455A9">
        <w:rPr>
          <w:noProof/>
          <w:sz w:val="20"/>
          <w:szCs w:val="20"/>
        </w:rPr>
        <w:drawing>
          <wp:inline distT="0" distB="0" distL="0" distR="0" wp14:anchorId="2710D542" wp14:editId="4BD21D77">
            <wp:extent cx="3909717" cy="2345910"/>
            <wp:effectExtent l="0" t="0" r="1905" b="3810"/>
            <wp:docPr id="1340037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3797" name="Picture 134003797"/>
                    <pic:cNvPicPr/>
                  </pic:nvPicPr>
                  <pic:blipFill>
                    <a:blip r:embed="rId12"/>
                    <a:stretch>
                      <a:fillRect/>
                    </a:stretch>
                  </pic:blipFill>
                  <pic:spPr>
                    <a:xfrm>
                      <a:off x="0" y="0"/>
                      <a:ext cx="4362152" cy="2617380"/>
                    </a:xfrm>
                    <a:prstGeom prst="rect">
                      <a:avLst/>
                    </a:prstGeom>
                  </pic:spPr>
                </pic:pic>
              </a:graphicData>
            </a:graphic>
          </wp:inline>
        </w:drawing>
      </w:r>
    </w:p>
    <w:p w14:paraId="76A4B06A" w14:textId="74E7D9DB" w:rsidR="00AF7CE2" w:rsidRPr="005455A9" w:rsidRDefault="00AF7CE2" w:rsidP="00AF7CE2">
      <w:pPr>
        <w:pStyle w:val="Caption"/>
        <w:rPr>
          <w:sz w:val="20"/>
        </w:rPr>
      </w:pPr>
      <w:r w:rsidRPr="005455A9">
        <w:rPr>
          <w:sz w:val="20"/>
        </w:rPr>
        <w:t xml:space="preserve">Figure </w:t>
      </w:r>
      <w:r>
        <w:rPr>
          <w:sz w:val="20"/>
        </w:rPr>
        <w:t>2</w:t>
      </w:r>
      <w:r w:rsidRPr="005455A9">
        <w:rPr>
          <w:sz w:val="20"/>
        </w:rPr>
        <w:t xml:space="preserve"> Valuation Boxplots for Concentric Rings</w:t>
      </w:r>
    </w:p>
    <w:p w14:paraId="1FA567D0" w14:textId="3D393D84" w:rsidR="00D9536E" w:rsidRPr="007F5D57" w:rsidRDefault="00D9536E" w:rsidP="00F4726B">
      <w:pPr>
        <w:rPr>
          <w:color w:val="1E293B"/>
          <w:szCs w:val="22"/>
          <w:shd w:val="clear" w:color="auto" w:fill="FFFFFF"/>
        </w:rPr>
      </w:pPr>
    </w:p>
    <w:p w14:paraId="5B72B6B5" w14:textId="52B1F6E0" w:rsidR="00D9536E" w:rsidRPr="007F5D57" w:rsidRDefault="00477E6B" w:rsidP="00D9536E">
      <w:pPr>
        <w:pStyle w:val="Heading2"/>
        <w:rPr>
          <w:sz w:val="20"/>
          <w:szCs w:val="20"/>
        </w:rPr>
      </w:pPr>
      <w:r w:rsidRPr="007F5D57">
        <w:rPr>
          <w:sz w:val="20"/>
          <w:szCs w:val="20"/>
        </w:rPr>
        <w:t xml:space="preserve">Table </w:t>
      </w:r>
      <w:r w:rsidRPr="007F5D57">
        <w:rPr>
          <w:sz w:val="20"/>
          <w:szCs w:val="20"/>
        </w:rPr>
        <w:fldChar w:fldCharType="begin"/>
      </w:r>
      <w:r w:rsidRPr="007F5D57">
        <w:rPr>
          <w:sz w:val="20"/>
          <w:szCs w:val="20"/>
        </w:rPr>
        <w:instrText xml:space="preserve"> SEQ Table \* ARABIC </w:instrText>
      </w:r>
      <w:r w:rsidRPr="007F5D57">
        <w:rPr>
          <w:sz w:val="20"/>
          <w:szCs w:val="20"/>
        </w:rPr>
        <w:fldChar w:fldCharType="separate"/>
      </w:r>
      <w:r w:rsidR="00BA473B">
        <w:rPr>
          <w:noProof/>
          <w:sz w:val="20"/>
          <w:szCs w:val="20"/>
        </w:rPr>
        <w:t>2</w:t>
      </w:r>
      <w:r w:rsidRPr="007F5D57">
        <w:rPr>
          <w:noProof/>
          <w:sz w:val="20"/>
          <w:szCs w:val="20"/>
        </w:rPr>
        <w:fldChar w:fldCharType="end"/>
      </w:r>
      <w:r w:rsidRPr="007F5D57">
        <w:rPr>
          <w:noProof/>
          <w:sz w:val="20"/>
          <w:szCs w:val="20"/>
        </w:rPr>
        <w:t xml:space="preserve"> </w:t>
      </w:r>
      <w:r w:rsidR="00D9536E" w:rsidRPr="007F5D57">
        <w:rPr>
          <w:sz w:val="20"/>
          <w:szCs w:val="20"/>
        </w:rPr>
        <w:t xml:space="preserve">Exploratory </w:t>
      </w:r>
      <w:r w:rsidR="00D9536E" w:rsidRPr="007F5D57">
        <w:rPr>
          <w:color w:val="000000"/>
          <w:sz w:val="20"/>
          <w:szCs w:val="20"/>
        </w:rPr>
        <w:t>data analysis</w:t>
      </w:r>
    </w:p>
    <w:tbl>
      <w:tblPr>
        <w:tblW w:w="4493" w:type="pct"/>
        <w:tblLook w:val="04A0" w:firstRow="1" w:lastRow="0" w:firstColumn="1" w:lastColumn="0" w:noHBand="0" w:noVBand="1"/>
      </w:tblPr>
      <w:tblGrid>
        <w:gridCol w:w="1781"/>
        <w:gridCol w:w="828"/>
        <w:gridCol w:w="985"/>
        <w:gridCol w:w="623"/>
        <w:gridCol w:w="966"/>
        <w:gridCol w:w="674"/>
        <w:gridCol w:w="883"/>
        <w:gridCol w:w="883"/>
        <w:gridCol w:w="966"/>
        <w:gridCol w:w="1049"/>
      </w:tblGrid>
      <w:tr w:rsidR="005C5C7C" w:rsidRPr="006670B2" w14:paraId="21E504E0" w14:textId="77777777" w:rsidTr="007F5D57">
        <w:trPr>
          <w:trHeight w:val="320"/>
        </w:trPr>
        <w:tc>
          <w:tcPr>
            <w:tcW w:w="910" w:type="pct"/>
            <w:tcBorders>
              <w:top w:val="single" w:sz="4" w:space="0" w:color="auto"/>
              <w:left w:val="nil"/>
              <w:bottom w:val="single" w:sz="4" w:space="0" w:color="auto"/>
              <w:right w:val="nil"/>
            </w:tcBorders>
            <w:shd w:val="clear" w:color="auto" w:fill="auto"/>
            <w:noWrap/>
            <w:vAlign w:val="bottom"/>
            <w:hideMark/>
          </w:tcPr>
          <w:p w14:paraId="5AD83138" w14:textId="77777777" w:rsidR="005C5C7C" w:rsidRPr="007F5D57" w:rsidRDefault="005C5C7C" w:rsidP="005455A9">
            <w:pPr>
              <w:rPr>
                <w:color w:val="000000"/>
                <w:sz w:val="20"/>
                <w:szCs w:val="20"/>
              </w:rPr>
            </w:pPr>
            <w:r w:rsidRPr="007F5D57">
              <w:rPr>
                <w:color w:val="000000"/>
                <w:sz w:val="20"/>
                <w:szCs w:val="20"/>
              </w:rPr>
              <w:t>Variable Name</w:t>
            </w:r>
          </w:p>
        </w:tc>
        <w:tc>
          <w:tcPr>
            <w:tcW w:w="432" w:type="pct"/>
            <w:tcBorders>
              <w:top w:val="single" w:sz="4" w:space="0" w:color="auto"/>
              <w:left w:val="nil"/>
              <w:bottom w:val="single" w:sz="4" w:space="0" w:color="auto"/>
              <w:right w:val="nil"/>
            </w:tcBorders>
            <w:shd w:val="clear" w:color="auto" w:fill="auto"/>
            <w:noWrap/>
            <w:vAlign w:val="bottom"/>
            <w:hideMark/>
          </w:tcPr>
          <w:p w14:paraId="32E507AA" w14:textId="77777777" w:rsidR="005C5C7C" w:rsidRPr="007F5D57" w:rsidRDefault="005C5C7C" w:rsidP="005455A9">
            <w:pPr>
              <w:rPr>
                <w:color w:val="000000"/>
                <w:sz w:val="20"/>
                <w:szCs w:val="20"/>
              </w:rPr>
            </w:pPr>
            <w:r w:rsidRPr="007F5D57">
              <w:rPr>
                <w:color w:val="000000"/>
                <w:sz w:val="20"/>
                <w:szCs w:val="20"/>
              </w:rPr>
              <w:t>Unit</w:t>
            </w:r>
          </w:p>
        </w:tc>
        <w:tc>
          <w:tcPr>
            <w:tcW w:w="511" w:type="pct"/>
            <w:tcBorders>
              <w:top w:val="single" w:sz="4" w:space="0" w:color="auto"/>
              <w:left w:val="nil"/>
              <w:bottom w:val="single" w:sz="4" w:space="0" w:color="auto"/>
              <w:right w:val="nil"/>
            </w:tcBorders>
            <w:shd w:val="clear" w:color="auto" w:fill="auto"/>
            <w:noWrap/>
            <w:vAlign w:val="bottom"/>
            <w:hideMark/>
          </w:tcPr>
          <w:p w14:paraId="1763C1D4" w14:textId="77777777" w:rsidR="005C5C7C" w:rsidRPr="007F5D57" w:rsidRDefault="005C5C7C" w:rsidP="005455A9">
            <w:pPr>
              <w:rPr>
                <w:color w:val="000000"/>
                <w:sz w:val="20"/>
                <w:szCs w:val="20"/>
              </w:rPr>
            </w:pPr>
            <w:r w:rsidRPr="007F5D57">
              <w:rPr>
                <w:color w:val="000000"/>
                <w:sz w:val="20"/>
                <w:szCs w:val="20"/>
              </w:rPr>
              <w:t>Type</w:t>
            </w:r>
          </w:p>
        </w:tc>
        <w:tc>
          <w:tcPr>
            <w:tcW w:w="329" w:type="pct"/>
            <w:tcBorders>
              <w:top w:val="single" w:sz="4" w:space="0" w:color="auto"/>
              <w:left w:val="nil"/>
              <w:bottom w:val="single" w:sz="4" w:space="0" w:color="auto"/>
              <w:right w:val="nil"/>
            </w:tcBorders>
            <w:shd w:val="clear" w:color="auto" w:fill="auto"/>
            <w:noWrap/>
            <w:vAlign w:val="bottom"/>
            <w:hideMark/>
          </w:tcPr>
          <w:p w14:paraId="690F96EA" w14:textId="77777777" w:rsidR="005C5C7C" w:rsidRPr="007F5D57" w:rsidRDefault="005C5C7C" w:rsidP="005455A9">
            <w:pPr>
              <w:rPr>
                <w:color w:val="000000"/>
                <w:sz w:val="20"/>
                <w:szCs w:val="20"/>
              </w:rPr>
            </w:pPr>
            <w:r w:rsidRPr="007F5D57">
              <w:rPr>
                <w:color w:val="000000"/>
                <w:sz w:val="20"/>
                <w:szCs w:val="20"/>
              </w:rPr>
              <w:t>Count</w:t>
            </w:r>
          </w:p>
        </w:tc>
        <w:tc>
          <w:tcPr>
            <w:tcW w:w="501" w:type="pct"/>
            <w:tcBorders>
              <w:top w:val="single" w:sz="4" w:space="0" w:color="auto"/>
              <w:left w:val="nil"/>
              <w:bottom w:val="single" w:sz="4" w:space="0" w:color="auto"/>
              <w:right w:val="nil"/>
            </w:tcBorders>
            <w:shd w:val="clear" w:color="auto" w:fill="auto"/>
            <w:noWrap/>
            <w:vAlign w:val="bottom"/>
            <w:hideMark/>
          </w:tcPr>
          <w:p w14:paraId="161D71FE" w14:textId="77777777" w:rsidR="005C5C7C" w:rsidRPr="007F5D57" w:rsidRDefault="005C5C7C" w:rsidP="005455A9">
            <w:pPr>
              <w:rPr>
                <w:color w:val="000000"/>
                <w:sz w:val="20"/>
                <w:szCs w:val="20"/>
              </w:rPr>
            </w:pPr>
            <w:r w:rsidRPr="007F5D57">
              <w:rPr>
                <w:color w:val="000000"/>
                <w:sz w:val="20"/>
                <w:szCs w:val="20"/>
              </w:rPr>
              <w:t>Mean</w:t>
            </w:r>
          </w:p>
        </w:tc>
        <w:tc>
          <w:tcPr>
            <w:tcW w:w="354" w:type="pct"/>
            <w:tcBorders>
              <w:top w:val="single" w:sz="4" w:space="0" w:color="auto"/>
              <w:left w:val="nil"/>
              <w:bottom w:val="single" w:sz="4" w:space="0" w:color="auto"/>
              <w:right w:val="nil"/>
            </w:tcBorders>
            <w:shd w:val="clear" w:color="auto" w:fill="auto"/>
            <w:noWrap/>
            <w:vAlign w:val="bottom"/>
            <w:hideMark/>
          </w:tcPr>
          <w:p w14:paraId="6DC98AE9" w14:textId="77777777" w:rsidR="005C5C7C" w:rsidRPr="007F5D57" w:rsidRDefault="005C5C7C" w:rsidP="005455A9">
            <w:pPr>
              <w:rPr>
                <w:color w:val="000000"/>
                <w:sz w:val="20"/>
                <w:szCs w:val="20"/>
              </w:rPr>
            </w:pPr>
            <w:r w:rsidRPr="007F5D57">
              <w:rPr>
                <w:color w:val="000000"/>
                <w:sz w:val="20"/>
                <w:szCs w:val="20"/>
              </w:rPr>
              <w:t>Min</w:t>
            </w:r>
          </w:p>
        </w:tc>
        <w:tc>
          <w:tcPr>
            <w:tcW w:w="460" w:type="pct"/>
            <w:tcBorders>
              <w:top w:val="single" w:sz="4" w:space="0" w:color="auto"/>
              <w:left w:val="nil"/>
              <w:bottom w:val="single" w:sz="4" w:space="0" w:color="auto"/>
              <w:right w:val="nil"/>
            </w:tcBorders>
            <w:shd w:val="clear" w:color="auto" w:fill="auto"/>
            <w:noWrap/>
            <w:vAlign w:val="bottom"/>
            <w:hideMark/>
          </w:tcPr>
          <w:p w14:paraId="67E30893" w14:textId="77777777" w:rsidR="005C5C7C" w:rsidRPr="007F5D57" w:rsidRDefault="005C5C7C" w:rsidP="005455A9">
            <w:pPr>
              <w:jc w:val="right"/>
              <w:rPr>
                <w:color w:val="000000"/>
                <w:sz w:val="20"/>
                <w:szCs w:val="20"/>
              </w:rPr>
            </w:pPr>
            <w:r w:rsidRPr="007F5D57">
              <w:rPr>
                <w:color w:val="000000"/>
                <w:sz w:val="20"/>
                <w:szCs w:val="20"/>
              </w:rPr>
              <w:t>25%</w:t>
            </w:r>
          </w:p>
        </w:tc>
        <w:tc>
          <w:tcPr>
            <w:tcW w:w="460" w:type="pct"/>
            <w:tcBorders>
              <w:top w:val="single" w:sz="4" w:space="0" w:color="auto"/>
              <w:left w:val="nil"/>
              <w:bottom w:val="single" w:sz="4" w:space="0" w:color="auto"/>
              <w:right w:val="nil"/>
            </w:tcBorders>
            <w:shd w:val="clear" w:color="auto" w:fill="auto"/>
            <w:noWrap/>
            <w:vAlign w:val="bottom"/>
            <w:hideMark/>
          </w:tcPr>
          <w:p w14:paraId="0BCCF0CF" w14:textId="77777777" w:rsidR="005C5C7C" w:rsidRPr="007F5D57" w:rsidRDefault="005C5C7C" w:rsidP="005455A9">
            <w:pPr>
              <w:rPr>
                <w:color w:val="000000"/>
                <w:sz w:val="20"/>
                <w:szCs w:val="20"/>
              </w:rPr>
            </w:pPr>
            <w:r w:rsidRPr="007F5D57">
              <w:rPr>
                <w:color w:val="000000"/>
                <w:sz w:val="20"/>
                <w:szCs w:val="20"/>
              </w:rPr>
              <w:t>Median</w:t>
            </w:r>
          </w:p>
        </w:tc>
        <w:tc>
          <w:tcPr>
            <w:tcW w:w="501" w:type="pct"/>
            <w:tcBorders>
              <w:top w:val="single" w:sz="4" w:space="0" w:color="auto"/>
              <w:left w:val="nil"/>
              <w:bottom w:val="single" w:sz="4" w:space="0" w:color="auto"/>
              <w:right w:val="nil"/>
            </w:tcBorders>
            <w:shd w:val="clear" w:color="auto" w:fill="auto"/>
            <w:noWrap/>
            <w:vAlign w:val="bottom"/>
            <w:hideMark/>
          </w:tcPr>
          <w:p w14:paraId="503EDCE9" w14:textId="77777777" w:rsidR="005C5C7C" w:rsidRPr="007F5D57" w:rsidRDefault="005C5C7C" w:rsidP="005455A9">
            <w:pPr>
              <w:jc w:val="right"/>
              <w:rPr>
                <w:color w:val="000000"/>
                <w:sz w:val="20"/>
                <w:szCs w:val="20"/>
              </w:rPr>
            </w:pPr>
            <w:r w:rsidRPr="007F5D57">
              <w:rPr>
                <w:color w:val="000000"/>
                <w:sz w:val="20"/>
                <w:szCs w:val="20"/>
              </w:rPr>
              <w:t>75%</w:t>
            </w:r>
          </w:p>
        </w:tc>
        <w:tc>
          <w:tcPr>
            <w:tcW w:w="543" w:type="pct"/>
            <w:tcBorders>
              <w:top w:val="single" w:sz="4" w:space="0" w:color="auto"/>
              <w:left w:val="nil"/>
              <w:bottom w:val="single" w:sz="4" w:space="0" w:color="auto"/>
              <w:right w:val="nil"/>
            </w:tcBorders>
            <w:shd w:val="clear" w:color="auto" w:fill="auto"/>
            <w:noWrap/>
            <w:vAlign w:val="bottom"/>
            <w:hideMark/>
          </w:tcPr>
          <w:p w14:paraId="16ADBAD4" w14:textId="77777777" w:rsidR="005C5C7C" w:rsidRPr="007F5D57" w:rsidRDefault="005C5C7C" w:rsidP="005455A9">
            <w:pPr>
              <w:rPr>
                <w:color w:val="000000"/>
                <w:sz w:val="20"/>
                <w:szCs w:val="20"/>
              </w:rPr>
            </w:pPr>
            <w:r w:rsidRPr="007F5D57">
              <w:rPr>
                <w:color w:val="000000"/>
                <w:sz w:val="20"/>
                <w:szCs w:val="20"/>
              </w:rPr>
              <w:t>Max</w:t>
            </w:r>
          </w:p>
        </w:tc>
      </w:tr>
      <w:tr w:rsidR="005C5C7C" w:rsidRPr="006670B2" w14:paraId="16DFC796" w14:textId="77777777" w:rsidTr="007F5D57">
        <w:trPr>
          <w:trHeight w:val="320"/>
        </w:trPr>
        <w:tc>
          <w:tcPr>
            <w:tcW w:w="910" w:type="pct"/>
            <w:tcBorders>
              <w:top w:val="nil"/>
              <w:left w:val="nil"/>
              <w:bottom w:val="nil"/>
              <w:right w:val="nil"/>
            </w:tcBorders>
            <w:shd w:val="clear" w:color="auto" w:fill="auto"/>
            <w:noWrap/>
            <w:vAlign w:val="bottom"/>
            <w:hideMark/>
          </w:tcPr>
          <w:p w14:paraId="69F8BF24" w14:textId="77777777" w:rsidR="005C5C7C" w:rsidRPr="007F5D57" w:rsidRDefault="005C5C7C" w:rsidP="005455A9">
            <w:pPr>
              <w:rPr>
                <w:color w:val="000000"/>
                <w:sz w:val="20"/>
                <w:szCs w:val="20"/>
              </w:rPr>
            </w:pPr>
            <w:r w:rsidRPr="007F5D57">
              <w:rPr>
                <w:color w:val="000000"/>
                <w:sz w:val="20"/>
                <w:szCs w:val="20"/>
              </w:rPr>
              <w:t>LAT</w:t>
            </w:r>
          </w:p>
        </w:tc>
        <w:tc>
          <w:tcPr>
            <w:tcW w:w="432" w:type="pct"/>
            <w:tcBorders>
              <w:top w:val="nil"/>
              <w:left w:val="nil"/>
              <w:bottom w:val="nil"/>
              <w:right w:val="nil"/>
            </w:tcBorders>
            <w:shd w:val="clear" w:color="auto" w:fill="auto"/>
            <w:noWrap/>
            <w:vAlign w:val="bottom"/>
            <w:hideMark/>
          </w:tcPr>
          <w:p w14:paraId="06C9CA02" w14:textId="77777777" w:rsidR="005C5C7C" w:rsidRPr="007F5D57" w:rsidRDefault="005C5C7C" w:rsidP="005455A9">
            <w:pPr>
              <w:rPr>
                <w:color w:val="000000"/>
                <w:sz w:val="20"/>
                <w:szCs w:val="20"/>
              </w:rPr>
            </w:pPr>
            <w:r w:rsidRPr="007F5D57">
              <w:rPr>
                <w:color w:val="000000"/>
                <w:sz w:val="20"/>
                <w:szCs w:val="20"/>
              </w:rPr>
              <w:t>Degrees</w:t>
            </w:r>
          </w:p>
        </w:tc>
        <w:tc>
          <w:tcPr>
            <w:tcW w:w="511" w:type="pct"/>
            <w:tcBorders>
              <w:top w:val="nil"/>
              <w:left w:val="nil"/>
              <w:bottom w:val="nil"/>
              <w:right w:val="nil"/>
            </w:tcBorders>
            <w:shd w:val="clear" w:color="auto" w:fill="auto"/>
            <w:noWrap/>
            <w:vAlign w:val="bottom"/>
            <w:hideMark/>
          </w:tcPr>
          <w:p w14:paraId="065760DC" w14:textId="77777777" w:rsidR="005C5C7C" w:rsidRPr="007F5D57" w:rsidRDefault="005C5C7C" w:rsidP="005455A9">
            <w:pPr>
              <w:rPr>
                <w:color w:val="000000"/>
                <w:sz w:val="20"/>
                <w:szCs w:val="20"/>
              </w:rPr>
            </w:pPr>
            <w:r w:rsidRPr="007F5D57">
              <w:rPr>
                <w:color w:val="000000"/>
                <w:sz w:val="20"/>
                <w:szCs w:val="20"/>
              </w:rPr>
              <w:t>Continuous</w:t>
            </w:r>
          </w:p>
        </w:tc>
        <w:tc>
          <w:tcPr>
            <w:tcW w:w="329" w:type="pct"/>
            <w:tcBorders>
              <w:top w:val="nil"/>
              <w:left w:val="nil"/>
              <w:bottom w:val="nil"/>
              <w:right w:val="nil"/>
            </w:tcBorders>
            <w:shd w:val="clear" w:color="auto" w:fill="auto"/>
            <w:noWrap/>
            <w:vAlign w:val="bottom"/>
            <w:hideMark/>
          </w:tcPr>
          <w:p w14:paraId="612B78E3" w14:textId="77777777" w:rsidR="005C5C7C" w:rsidRPr="007F5D57" w:rsidRDefault="005C5C7C" w:rsidP="005455A9">
            <w:pPr>
              <w:jc w:val="right"/>
              <w:rPr>
                <w:color w:val="000000"/>
                <w:sz w:val="20"/>
                <w:szCs w:val="20"/>
              </w:rPr>
            </w:pPr>
            <w:r w:rsidRPr="007F5D57">
              <w:rPr>
                <w:color w:val="000000"/>
                <w:sz w:val="20"/>
                <w:szCs w:val="20"/>
              </w:rPr>
              <w:t>616</w:t>
            </w:r>
          </w:p>
        </w:tc>
        <w:tc>
          <w:tcPr>
            <w:tcW w:w="501" w:type="pct"/>
            <w:tcBorders>
              <w:top w:val="nil"/>
              <w:left w:val="nil"/>
              <w:bottom w:val="nil"/>
              <w:right w:val="nil"/>
            </w:tcBorders>
            <w:shd w:val="clear" w:color="auto" w:fill="auto"/>
            <w:noWrap/>
            <w:vAlign w:val="bottom"/>
            <w:hideMark/>
          </w:tcPr>
          <w:p w14:paraId="5BC999AB" w14:textId="77777777" w:rsidR="005C5C7C" w:rsidRPr="007F5D57" w:rsidRDefault="005C5C7C" w:rsidP="005455A9">
            <w:pPr>
              <w:jc w:val="right"/>
              <w:rPr>
                <w:color w:val="000000"/>
                <w:sz w:val="20"/>
                <w:szCs w:val="20"/>
              </w:rPr>
            </w:pPr>
          </w:p>
        </w:tc>
        <w:tc>
          <w:tcPr>
            <w:tcW w:w="354" w:type="pct"/>
            <w:tcBorders>
              <w:top w:val="nil"/>
              <w:left w:val="nil"/>
              <w:bottom w:val="nil"/>
              <w:right w:val="nil"/>
            </w:tcBorders>
            <w:shd w:val="clear" w:color="auto" w:fill="auto"/>
            <w:noWrap/>
            <w:vAlign w:val="bottom"/>
            <w:hideMark/>
          </w:tcPr>
          <w:p w14:paraId="3F5F4282" w14:textId="77777777" w:rsidR="005C5C7C" w:rsidRPr="007F5D57" w:rsidRDefault="005C5C7C" w:rsidP="005455A9">
            <w:pPr>
              <w:rPr>
                <w:sz w:val="20"/>
                <w:szCs w:val="20"/>
              </w:rPr>
            </w:pPr>
          </w:p>
        </w:tc>
        <w:tc>
          <w:tcPr>
            <w:tcW w:w="460" w:type="pct"/>
            <w:tcBorders>
              <w:top w:val="nil"/>
              <w:left w:val="nil"/>
              <w:bottom w:val="nil"/>
              <w:right w:val="nil"/>
            </w:tcBorders>
            <w:shd w:val="clear" w:color="auto" w:fill="auto"/>
            <w:noWrap/>
            <w:vAlign w:val="bottom"/>
            <w:hideMark/>
          </w:tcPr>
          <w:p w14:paraId="44875AD4" w14:textId="77777777" w:rsidR="005C5C7C" w:rsidRPr="007F5D57" w:rsidRDefault="005C5C7C" w:rsidP="005455A9">
            <w:pPr>
              <w:rPr>
                <w:sz w:val="20"/>
                <w:szCs w:val="20"/>
              </w:rPr>
            </w:pPr>
          </w:p>
        </w:tc>
        <w:tc>
          <w:tcPr>
            <w:tcW w:w="460" w:type="pct"/>
            <w:tcBorders>
              <w:top w:val="nil"/>
              <w:left w:val="nil"/>
              <w:bottom w:val="nil"/>
              <w:right w:val="nil"/>
            </w:tcBorders>
            <w:shd w:val="clear" w:color="auto" w:fill="auto"/>
            <w:noWrap/>
            <w:vAlign w:val="bottom"/>
            <w:hideMark/>
          </w:tcPr>
          <w:p w14:paraId="17B45C8C" w14:textId="77777777" w:rsidR="005C5C7C" w:rsidRPr="007F5D57" w:rsidRDefault="005C5C7C" w:rsidP="005455A9">
            <w:pPr>
              <w:rPr>
                <w:sz w:val="20"/>
                <w:szCs w:val="20"/>
              </w:rPr>
            </w:pPr>
          </w:p>
        </w:tc>
        <w:tc>
          <w:tcPr>
            <w:tcW w:w="501" w:type="pct"/>
            <w:tcBorders>
              <w:top w:val="nil"/>
              <w:left w:val="nil"/>
              <w:bottom w:val="nil"/>
              <w:right w:val="nil"/>
            </w:tcBorders>
            <w:shd w:val="clear" w:color="auto" w:fill="auto"/>
            <w:noWrap/>
            <w:vAlign w:val="bottom"/>
            <w:hideMark/>
          </w:tcPr>
          <w:p w14:paraId="7D4F1F0D" w14:textId="77777777" w:rsidR="005C5C7C" w:rsidRPr="007F5D57" w:rsidRDefault="005C5C7C" w:rsidP="005455A9">
            <w:pPr>
              <w:rPr>
                <w:sz w:val="20"/>
                <w:szCs w:val="20"/>
              </w:rPr>
            </w:pPr>
          </w:p>
        </w:tc>
        <w:tc>
          <w:tcPr>
            <w:tcW w:w="543" w:type="pct"/>
            <w:tcBorders>
              <w:top w:val="nil"/>
              <w:left w:val="nil"/>
              <w:bottom w:val="nil"/>
              <w:right w:val="nil"/>
            </w:tcBorders>
            <w:shd w:val="clear" w:color="auto" w:fill="auto"/>
            <w:noWrap/>
            <w:vAlign w:val="bottom"/>
            <w:hideMark/>
          </w:tcPr>
          <w:p w14:paraId="5F673EC4" w14:textId="77777777" w:rsidR="005C5C7C" w:rsidRPr="007F5D57" w:rsidRDefault="005C5C7C" w:rsidP="005455A9">
            <w:pPr>
              <w:rPr>
                <w:sz w:val="20"/>
                <w:szCs w:val="20"/>
              </w:rPr>
            </w:pPr>
          </w:p>
        </w:tc>
      </w:tr>
      <w:tr w:rsidR="005C5C7C" w:rsidRPr="006670B2" w14:paraId="088424AB" w14:textId="77777777" w:rsidTr="007F5D57">
        <w:trPr>
          <w:trHeight w:val="320"/>
        </w:trPr>
        <w:tc>
          <w:tcPr>
            <w:tcW w:w="910" w:type="pct"/>
            <w:tcBorders>
              <w:top w:val="nil"/>
              <w:left w:val="nil"/>
              <w:bottom w:val="nil"/>
              <w:right w:val="nil"/>
            </w:tcBorders>
            <w:shd w:val="clear" w:color="auto" w:fill="auto"/>
            <w:noWrap/>
            <w:vAlign w:val="bottom"/>
            <w:hideMark/>
          </w:tcPr>
          <w:p w14:paraId="21F88BED" w14:textId="77777777" w:rsidR="005C5C7C" w:rsidRPr="007F5D57" w:rsidRDefault="005C5C7C" w:rsidP="005455A9">
            <w:pPr>
              <w:rPr>
                <w:color w:val="000000"/>
                <w:sz w:val="20"/>
                <w:szCs w:val="20"/>
              </w:rPr>
            </w:pPr>
            <w:r w:rsidRPr="007F5D57">
              <w:rPr>
                <w:color w:val="000000"/>
                <w:sz w:val="20"/>
                <w:szCs w:val="20"/>
              </w:rPr>
              <w:t>LONG</w:t>
            </w:r>
          </w:p>
        </w:tc>
        <w:tc>
          <w:tcPr>
            <w:tcW w:w="432" w:type="pct"/>
            <w:tcBorders>
              <w:top w:val="nil"/>
              <w:left w:val="nil"/>
              <w:bottom w:val="nil"/>
              <w:right w:val="nil"/>
            </w:tcBorders>
            <w:shd w:val="clear" w:color="auto" w:fill="auto"/>
            <w:noWrap/>
            <w:vAlign w:val="bottom"/>
            <w:hideMark/>
          </w:tcPr>
          <w:p w14:paraId="571CD30C" w14:textId="77777777" w:rsidR="005C5C7C" w:rsidRPr="007F5D57" w:rsidRDefault="005C5C7C" w:rsidP="005455A9">
            <w:pPr>
              <w:rPr>
                <w:color w:val="000000"/>
                <w:sz w:val="20"/>
                <w:szCs w:val="20"/>
              </w:rPr>
            </w:pPr>
            <w:r w:rsidRPr="007F5D57">
              <w:rPr>
                <w:color w:val="000000"/>
                <w:sz w:val="20"/>
                <w:szCs w:val="20"/>
              </w:rPr>
              <w:t>Degrees</w:t>
            </w:r>
          </w:p>
        </w:tc>
        <w:tc>
          <w:tcPr>
            <w:tcW w:w="511" w:type="pct"/>
            <w:tcBorders>
              <w:top w:val="nil"/>
              <w:left w:val="nil"/>
              <w:bottom w:val="nil"/>
              <w:right w:val="nil"/>
            </w:tcBorders>
            <w:shd w:val="clear" w:color="auto" w:fill="auto"/>
            <w:noWrap/>
            <w:vAlign w:val="bottom"/>
            <w:hideMark/>
          </w:tcPr>
          <w:p w14:paraId="07D945EF" w14:textId="77777777" w:rsidR="005C5C7C" w:rsidRPr="007F5D57" w:rsidRDefault="005C5C7C" w:rsidP="005455A9">
            <w:pPr>
              <w:rPr>
                <w:color w:val="000000"/>
                <w:sz w:val="20"/>
                <w:szCs w:val="20"/>
              </w:rPr>
            </w:pPr>
            <w:r w:rsidRPr="007F5D57">
              <w:rPr>
                <w:color w:val="000000"/>
                <w:sz w:val="20"/>
                <w:szCs w:val="20"/>
              </w:rPr>
              <w:t>Continuous</w:t>
            </w:r>
          </w:p>
        </w:tc>
        <w:tc>
          <w:tcPr>
            <w:tcW w:w="329" w:type="pct"/>
            <w:tcBorders>
              <w:top w:val="nil"/>
              <w:left w:val="nil"/>
              <w:bottom w:val="nil"/>
              <w:right w:val="nil"/>
            </w:tcBorders>
            <w:shd w:val="clear" w:color="auto" w:fill="auto"/>
            <w:noWrap/>
            <w:vAlign w:val="bottom"/>
            <w:hideMark/>
          </w:tcPr>
          <w:p w14:paraId="355C9BBF" w14:textId="77777777" w:rsidR="005C5C7C" w:rsidRPr="007F5D57" w:rsidRDefault="005C5C7C" w:rsidP="005455A9">
            <w:pPr>
              <w:jc w:val="right"/>
              <w:rPr>
                <w:color w:val="000000"/>
                <w:sz w:val="20"/>
                <w:szCs w:val="20"/>
              </w:rPr>
            </w:pPr>
            <w:r w:rsidRPr="007F5D57">
              <w:rPr>
                <w:color w:val="000000"/>
                <w:sz w:val="20"/>
                <w:szCs w:val="20"/>
              </w:rPr>
              <w:t>616</w:t>
            </w:r>
          </w:p>
        </w:tc>
        <w:tc>
          <w:tcPr>
            <w:tcW w:w="501" w:type="pct"/>
            <w:tcBorders>
              <w:top w:val="nil"/>
              <w:left w:val="nil"/>
              <w:bottom w:val="nil"/>
              <w:right w:val="nil"/>
            </w:tcBorders>
            <w:shd w:val="clear" w:color="auto" w:fill="auto"/>
            <w:noWrap/>
            <w:vAlign w:val="bottom"/>
            <w:hideMark/>
          </w:tcPr>
          <w:p w14:paraId="3CCFB186" w14:textId="77777777" w:rsidR="005C5C7C" w:rsidRPr="007F5D57" w:rsidRDefault="005C5C7C" w:rsidP="005455A9">
            <w:pPr>
              <w:jc w:val="right"/>
              <w:rPr>
                <w:color w:val="000000"/>
                <w:sz w:val="20"/>
                <w:szCs w:val="20"/>
              </w:rPr>
            </w:pPr>
          </w:p>
        </w:tc>
        <w:tc>
          <w:tcPr>
            <w:tcW w:w="354" w:type="pct"/>
            <w:tcBorders>
              <w:top w:val="nil"/>
              <w:left w:val="nil"/>
              <w:bottom w:val="nil"/>
              <w:right w:val="nil"/>
            </w:tcBorders>
            <w:shd w:val="clear" w:color="auto" w:fill="auto"/>
            <w:noWrap/>
            <w:vAlign w:val="bottom"/>
            <w:hideMark/>
          </w:tcPr>
          <w:p w14:paraId="7BBA3F8A" w14:textId="77777777" w:rsidR="005C5C7C" w:rsidRPr="007F5D57" w:rsidRDefault="005C5C7C" w:rsidP="005455A9">
            <w:pPr>
              <w:rPr>
                <w:sz w:val="20"/>
                <w:szCs w:val="20"/>
              </w:rPr>
            </w:pPr>
          </w:p>
        </w:tc>
        <w:tc>
          <w:tcPr>
            <w:tcW w:w="460" w:type="pct"/>
            <w:tcBorders>
              <w:top w:val="nil"/>
              <w:left w:val="nil"/>
              <w:bottom w:val="nil"/>
              <w:right w:val="nil"/>
            </w:tcBorders>
            <w:shd w:val="clear" w:color="auto" w:fill="auto"/>
            <w:noWrap/>
            <w:vAlign w:val="bottom"/>
            <w:hideMark/>
          </w:tcPr>
          <w:p w14:paraId="3324874C" w14:textId="77777777" w:rsidR="005C5C7C" w:rsidRPr="007F5D57" w:rsidRDefault="005C5C7C" w:rsidP="005455A9">
            <w:pPr>
              <w:rPr>
                <w:sz w:val="20"/>
                <w:szCs w:val="20"/>
              </w:rPr>
            </w:pPr>
          </w:p>
        </w:tc>
        <w:tc>
          <w:tcPr>
            <w:tcW w:w="460" w:type="pct"/>
            <w:tcBorders>
              <w:top w:val="nil"/>
              <w:left w:val="nil"/>
              <w:bottom w:val="nil"/>
              <w:right w:val="nil"/>
            </w:tcBorders>
            <w:shd w:val="clear" w:color="auto" w:fill="auto"/>
            <w:noWrap/>
            <w:vAlign w:val="bottom"/>
            <w:hideMark/>
          </w:tcPr>
          <w:p w14:paraId="1B673352" w14:textId="77777777" w:rsidR="005C5C7C" w:rsidRPr="007F5D57" w:rsidRDefault="005C5C7C" w:rsidP="005455A9">
            <w:pPr>
              <w:rPr>
                <w:sz w:val="20"/>
                <w:szCs w:val="20"/>
              </w:rPr>
            </w:pPr>
          </w:p>
        </w:tc>
        <w:tc>
          <w:tcPr>
            <w:tcW w:w="501" w:type="pct"/>
            <w:tcBorders>
              <w:top w:val="nil"/>
              <w:left w:val="nil"/>
              <w:bottom w:val="nil"/>
              <w:right w:val="nil"/>
            </w:tcBorders>
            <w:shd w:val="clear" w:color="auto" w:fill="auto"/>
            <w:noWrap/>
            <w:vAlign w:val="bottom"/>
            <w:hideMark/>
          </w:tcPr>
          <w:p w14:paraId="612899EB" w14:textId="77777777" w:rsidR="005C5C7C" w:rsidRPr="007F5D57" w:rsidRDefault="005C5C7C" w:rsidP="005455A9">
            <w:pPr>
              <w:rPr>
                <w:sz w:val="20"/>
                <w:szCs w:val="20"/>
              </w:rPr>
            </w:pPr>
          </w:p>
        </w:tc>
        <w:tc>
          <w:tcPr>
            <w:tcW w:w="543" w:type="pct"/>
            <w:tcBorders>
              <w:top w:val="nil"/>
              <w:left w:val="nil"/>
              <w:bottom w:val="nil"/>
              <w:right w:val="nil"/>
            </w:tcBorders>
            <w:shd w:val="clear" w:color="auto" w:fill="auto"/>
            <w:noWrap/>
            <w:vAlign w:val="bottom"/>
            <w:hideMark/>
          </w:tcPr>
          <w:p w14:paraId="6DA5B0FF" w14:textId="77777777" w:rsidR="005C5C7C" w:rsidRPr="007F5D57" w:rsidRDefault="005C5C7C" w:rsidP="005455A9">
            <w:pPr>
              <w:rPr>
                <w:sz w:val="20"/>
                <w:szCs w:val="20"/>
              </w:rPr>
            </w:pPr>
          </w:p>
        </w:tc>
      </w:tr>
      <w:tr w:rsidR="005C5C7C" w:rsidRPr="006670B2" w14:paraId="17CE35E3" w14:textId="77777777" w:rsidTr="007F5D57">
        <w:trPr>
          <w:trHeight w:val="320"/>
        </w:trPr>
        <w:tc>
          <w:tcPr>
            <w:tcW w:w="910" w:type="pct"/>
            <w:tcBorders>
              <w:top w:val="nil"/>
              <w:left w:val="nil"/>
              <w:bottom w:val="nil"/>
              <w:right w:val="nil"/>
            </w:tcBorders>
            <w:shd w:val="clear" w:color="auto" w:fill="auto"/>
            <w:noWrap/>
            <w:vAlign w:val="bottom"/>
            <w:hideMark/>
          </w:tcPr>
          <w:p w14:paraId="507F7B87" w14:textId="77777777" w:rsidR="005C5C7C" w:rsidRPr="007F5D57" w:rsidRDefault="005C5C7C" w:rsidP="005455A9">
            <w:pPr>
              <w:rPr>
                <w:color w:val="000000"/>
                <w:sz w:val="20"/>
                <w:szCs w:val="20"/>
              </w:rPr>
            </w:pPr>
            <w:r w:rsidRPr="007F5D57">
              <w:rPr>
                <w:color w:val="000000"/>
                <w:sz w:val="20"/>
                <w:szCs w:val="20"/>
              </w:rPr>
              <w:t>Current Valuation (A$)</w:t>
            </w:r>
          </w:p>
        </w:tc>
        <w:tc>
          <w:tcPr>
            <w:tcW w:w="432" w:type="pct"/>
            <w:tcBorders>
              <w:top w:val="nil"/>
              <w:left w:val="nil"/>
              <w:bottom w:val="nil"/>
              <w:right w:val="nil"/>
            </w:tcBorders>
            <w:shd w:val="clear" w:color="auto" w:fill="auto"/>
            <w:noWrap/>
            <w:vAlign w:val="bottom"/>
            <w:hideMark/>
          </w:tcPr>
          <w:p w14:paraId="45B2C7DA" w14:textId="77777777" w:rsidR="005C5C7C" w:rsidRPr="007F5D57" w:rsidRDefault="005C5C7C" w:rsidP="005455A9">
            <w:pPr>
              <w:rPr>
                <w:color w:val="000000"/>
                <w:sz w:val="20"/>
                <w:szCs w:val="20"/>
              </w:rPr>
            </w:pPr>
            <w:r w:rsidRPr="007F5D57">
              <w:rPr>
                <w:color w:val="000000"/>
                <w:sz w:val="20"/>
                <w:szCs w:val="20"/>
              </w:rPr>
              <w:t>A$</w:t>
            </w:r>
          </w:p>
        </w:tc>
        <w:tc>
          <w:tcPr>
            <w:tcW w:w="511" w:type="pct"/>
            <w:tcBorders>
              <w:top w:val="nil"/>
              <w:left w:val="nil"/>
              <w:bottom w:val="nil"/>
              <w:right w:val="nil"/>
            </w:tcBorders>
            <w:shd w:val="clear" w:color="auto" w:fill="auto"/>
            <w:noWrap/>
            <w:vAlign w:val="bottom"/>
            <w:hideMark/>
          </w:tcPr>
          <w:p w14:paraId="76A9DFEB" w14:textId="77777777" w:rsidR="005C5C7C" w:rsidRPr="007F5D57" w:rsidRDefault="005C5C7C" w:rsidP="005455A9">
            <w:pPr>
              <w:rPr>
                <w:color w:val="000000"/>
                <w:sz w:val="20"/>
                <w:szCs w:val="20"/>
              </w:rPr>
            </w:pPr>
            <w:r w:rsidRPr="007F5D57">
              <w:rPr>
                <w:color w:val="000000"/>
                <w:sz w:val="20"/>
                <w:szCs w:val="20"/>
              </w:rPr>
              <w:t>Continuous</w:t>
            </w:r>
          </w:p>
        </w:tc>
        <w:tc>
          <w:tcPr>
            <w:tcW w:w="329" w:type="pct"/>
            <w:tcBorders>
              <w:top w:val="nil"/>
              <w:left w:val="nil"/>
              <w:bottom w:val="nil"/>
              <w:right w:val="nil"/>
            </w:tcBorders>
            <w:shd w:val="clear" w:color="auto" w:fill="auto"/>
            <w:noWrap/>
            <w:vAlign w:val="bottom"/>
            <w:hideMark/>
          </w:tcPr>
          <w:p w14:paraId="6E001F86" w14:textId="77777777" w:rsidR="005C5C7C" w:rsidRPr="007F5D57" w:rsidRDefault="005C5C7C" w:rsidP="005455A9">
            <w:pPr>
              <w:jc w:val="right"/>
              <w:rPr>
                <w:color w:val="000000"/>
                <w:sz w:val="20"/>
                <w:szCs w:val="20"/>
              </w:rPr>
            </w:pPr>
            <w:r w:rsidRPr="007F5D57">
              <w:rPr>
                <w:color w:val="000000"/>
                <w:sz w:val="20"/>
                <w:szCs w:val="20"/>
              </w:rPr>
              <w:t>616</w:t>
            </w:r>
          </w:p>
        </w:tc>
        <w:tc>
          <w:tcPr>
            <w:tcW w:w="501" w:type="pct"/>
            <w:tcBorders>
              <w:top w:val="nil"/>
              <w:left w:val="nil"/>
              <w:bottom w:val="nil"/>
              <w:right w:val="nil"/>
            </w:tcBorders>
            <w:shd w:val="clear" w:color="auto" w:fill="auto"/>
            <w:noWrap/>
            <w:vAlign w:val="bottom"/>
            <w:hideMark/>
          </w:tcPr>
          <w:p w14:paraId="15C639C4" w14:textId="746E5B3D" w:rsidR="005C5C7C" w:rsidRPr="007F5D57" w:rsidRDefault="005C5C7C" w:rsidP="005455A9">
            <w:pPr>
              <w:jc w:val="right"/>
              <w:rPr>
                <w:color w:val="000000"/>
                <w:sz w:val="20"/>
                <w:szCs w:val="20"/>
              </w:rPr>
            </w:pPr>
            <w:r>
              <w:rPr>
                <w:color w:val="000000"/>
                <w:sz w:val="20"/>
                <w:szCs w:val="20"/>
              </w:rPr>
              <w:t>10,197,166</w:t>
            </w:r>
          </w:p>
        </w:tc>
        <w:tc>
          <w:tcPr>
            <w:tcW w:w="354" w:type="pct"/>
            <w:tcBorders>
              <w:top w:val="nil"/>
              <w:left w:val="nil"/>
              <w:bottom w:val="nil"/>
              <w:right w:val="nil"/>
            </w:tcBorders>
            <w:shd w:val="clear" w:color="auto" w:fill="auto"/>
            <w:noWrap/>
            <w:vAlign w:val="bottom"/>
            <w:hideMark/>
          </w:tcPr>
          <w:p w14:paraId="2E7FFF25" w14:textId="33C3C934" w:rsidR="005C5C7C" w:rsidRPr="007F5D57" w:rsidRDefault="005C5C7C" w:rsidP="005455A9">
            <w:pPr>
              <w:jc w:val="right"/>
              <w:rPr>
                <w:color w:val="000000"/>
                <w:sz w:val="20"/>
                <w:szCs w:val="20"/>
              </w:rPr>
            </w:pPr>
            <w:r w:rsidRPr="007F5D57">
              <w:rPr>
                <w:color w:val="000000"/>
                <w:sz w:val="20"/>
                <w:szCs w:val="20"/>
              </w:rPr>
              <w:t>10</w:t>
            </w:r>
            <w:r>
              <w:rPr>
                <w:color w:val="000000"/>
                <w:sz w:val="20"/>
                <w:szCs w:val="20"/>
              </w:rPr>
              <w:t>,</w:t>
            </w:r>
            <w:r w:rsidRPr="007F5D57">
              <w:rPr>
                <w:color w:val="000000"/>
                <w:sz w:val="20"/>
                <w:szCs w:val="20"/>
              </w:rPr>
              <w:t>000</w:t>
            </w:r>
          </w:p>
        </w:tc>
        <w:tc>
          <w:tcPr>
            <w:tcW w:w="460" w:type="pct"/>
            <w:tcBorders>
              <w:top w:val="nil"/>
              <w:left w:val="nil"/>
              <w:bottom w:val="nil"/>
              <w:right w:val="nil"/>
            </w:tcBorders>
            <w:shd w:val="clear" w:color="auto" w:fill="auto"/>
            <w:noWrap/>
            <w:vAlign w:val="bottom"/>
            <w:hideMark/>
          </w:tcPr>
          <w:p w14:paraId="7F6BFB64" w14:textId="46F2A71B" w:rsidR="005C5C7C" w:rsidRPr="007F5D57" w:rsidRDefault="005C5C7C" w:rsidP="005455A9">
            <w:pPr>
              <w:jc w:val="right"/>
              <w:rPr>
                <w:color w:val="000000"/>
                <w:sz w:val="20"/>
                <w:szCs w:val="20"/>
              </w:rPr>
            </w:pPr>
            <w:r w:rsidRPr="007F5D57">
              <w:rPr>
                <w:color w:val="000000"/>
                <w:sz w:val="20"/>
                <w:szCs w:val="20"/>
              </w:rPr>
              <w:t>1</w:t>
            </w:r>
            <w:r>
              <w:rPr>
                <w:color w:val="000000"/>
                <w:sz w:val="20"/>
                <w:szCs w:val="20"/>
              </w:rPr>
              <w:t>,</w:t>
            </w:r>
            <w:r w:rsidRPr="007F5D57">
              <w:rPr>
                <w:color w:val="000000"/>
                <w:sz w:val="20"/>
                <w:szCs w:val="20"/>
              </w:rPr>
              <w:t>500</w:t>
            </w:r>
            <w:r>
              <w:rPr>
                <w:color w:val="000000"/>
                <w:sz w:val="20"/>
                <w:szCs w:val="20"/>
              </w:rPr>
              <w:t>,</w:t>
            </w:r>
            <w:r w:rsidRPr="007F5D57">
              <w:rPr>
                <w:color w:val="000000"/>
                <w:sz w:val="20"/>
                <w:szCs w:val="20"/>
              </w:rPr>
              <w:t>000</w:t>
            </w:r>
          </w:p>
        </w:tc>
        <w:tc>
          <w:tcPr>
            <w:tcW w:w="460" w:type="pct"/>
            <w:tcBorders>
              <w:top w:val="nil"/>
              <w:left w:val="nil"/>
              <w:bottom w:val="nil"/>
              <w:right w:val="nil"/>
            </w:tcBorders>
            <w:shd w:val="clear" w:color="auto" w:fill="auto"/>
            <w:noWrap/>
            <w:vAlign w:val="bottom"/>
            <w:hideMark/>
          </w:tcPr>
          <w:p w14:paraId="6C981A12" w14:textId="2AFD9AE4" w:rsidR="005C5C7C" w:rsidRPr="007F5D57" w:rsidRDefault="005C5C7C" w:rsidP="005455A9">
            <w:pPr>
              <w:jc w:val="right"/>
              <w:rPr>
                <w:color w:val="000000"/>
                <w:sz w:val="20"/>
                <w:szCs w:val="20"/>
              </w:rPr>
            </w:pPr>
            <w:r w:rsidRPr="007F5D57">
              <w:rPr>
                <w:color w:val="000000"/>
                <w:sz w:val="20"/>
                <w:szCs w:val="20"/>
              </w:rPr>
              <w:t>4</w:t>
            </w:r>
            <w:r>
              <w:rPr>
                <w:color w:val="000000"/>
                <w:sz w:val="20"/>
                <w:szCs w:val="20"/>
              </w:rPr>
              <w:t>,</w:t>
            </w:r>
            <w:r w:rsidRPr="007F5D57">
              <w:rPr>
                <w:color w:val="000000"/>
                <w:sz w:val="20"/>
                <w:szCs w:val="20"/>
              </w:rPr>
              <w:t>200</w:t>
            </w:r>
            <w:r>
              <w:rPr>
                <w:color w:val="000000"/>
                <w:sz w:val="20"/>
                <w:szCs w:val="20"/>
              </w:rPr>
              <w:t>,</w:t>
            </w:r>
            <w:r w:rsidRPr="007F5D57">
              <w:rPr>
                <w:color w:val="000000"/>
                <w:sz w:val="20"/>
                <w:szCs w:val="20"/>
              </w:rPr>
              <w:t>000</w:t>
            </w:r>
          </w:p>
        </w:tc>
        <w:tc>
          <w:tcPr>
            <w:tcW w:w="501" w:type="pct"/>
            <w:tcBorders>
              <w:top w:val="nil"/>
              <w:left w:val="nil"/>
              <w:bottom w:val="nil"/>
              <w:right w:val="nil"/>
            </w:tcBorders>
            <w:shd w:val="clear" w:color="auto" w:fill="auto"/>
            <w:noWrap/>
            <w:vAlign w:val="bottom"/>
            <w:hideMark/>
          </w:tcPr>
          <w:p w14:paraId="222D1037" w14:textId="37351A33" w:rsidR="005C5C7C" w:rsidRPr="007F5D57" w:rsidRDefault="005C5C7C" w:rsidP="005455A9">
            <w:pPr>
              <w:jc w:val="right"/>
              <w:rPr>
                <w:color w:val="000000"/>
                <w:sz w:val="20"/>
                <w:szCs w:val="20"/>
              </w:rPr>
            </w:pPr>
            <w:r w:rsidRPr="007F5D57">
              <w:rPr>
                <w:color w:val="000000"/>
                <w:sz w:val="20"/>
                <w:szCs w:val="20"/>
              </w:rPr>
              <w:t>13</w:t>
            </w:r>
            <w:r>
              <w:rPr>
                <w:color w:val="000000"/>
                <w:sz w:val="20"/>
                <w:szCs w:val="20"/>
              </w:rPr>
              <w:t>,</w:t>
            </w:r>
            <w:r w:rsidRPr="007F5D57">
              <w:rPr>
                <w:color w:val="000000"/>
                <w:sz w:val="20"/>
                <w:szCs w:val="20"/>
              </w:rPr>
              <w:t>050</w:t>
            </w:r>
            <w:r>
              <w:rPr>
                <w:color w:val="000000"/>
                <w:sz w:val="20"/>
                <w:szCs w:val="20"/>
              </w:rPr>
              <w:t>,</w:t>
            </w:r>
            <w:r w:rsidRPr="007F5D57">
              <w:rPr>
                <w:color w:val="000000"/>
                <w:sz w:val="20"/>
                <w:szCs w:val="20"/>
              </w:rPr>
              <w:t>000</w:t>
            </w:r>
          </w:p>
        </w:tc>
        <w:tc>
          <w:tcPr>
            <w:tcW w:w="543" w:type="pct"/>
            <w:tcBorders>
              <w:top w:val="nil"/>
              <w:left w:val="nil"/>
              <w:bottom w:val="nil"/>
              <w:right w:val="nil"/>
            </w:tcBorders>
            <w:shd w:val="clear" w:color="auto" w:fill="auto"/>
            <w:noWrap/>
            <w:vAlign w:val="bottom"/>
            <w:hideMark/>
          </w:tcPr>
          <w:p w14:paraId="35D3C235" w14:textId="5C52EB2B" w:rsidR="005C5C7C" w:rsidRPr="007F5D57" w:rsidRDefault="005C5C7C" w:rsidP="005455A9">
            <w:pPr>
              <w:jc w:val="right"/>
              <w:rPr>
                <w:color w:val="000000"/>
                <w:sz w:val="20"/>
                <w:szCs w:val="20"/>
              </w:rPr>
            </w:pPr>
            <w:r w:rsidRPr="007F5D57">
              <w:rPr>
                <w:color w:val="000000"/>
                <w:sz w:val="20"/>
                <w:szCs w:val="20"/>
              </w:rPr>
              <w:t>114</w:t>
            </w:r>
            <w:r>
              <w:rPr>
                <w:color w:val="000000"/>
                <w:sz w:val="20"/>
                <w:szCs w:val="20"/>
              </w:rPr>
              <w:t>,</w:t>
            </w:r>
            <w:r w:rsidRPr="007F5D57">
              <w:rPr>
                <w:color w:val="000000"/>
                <w:sz w:val="20"/>
                <w:szCs w:val="20"/>
              </w:rPr>
              <w:t>000</w:t>
            </w:r>
            <w:r>
              <w:rPr>
                <w:color w:val="000000"/>
                <w:sz w:val="20"/>
                <w:szCs w:val="20"/>
              </w:rPr>
              <w:t>,</w:t>
            </w:r>
            <w:r w:rsidRPr="007F5D57">
              <w:rPr>
                <w:color w:val="000000"/>
                <w:sz w:val="20"/>
                <w:szCs w:val="20"/>
              </w:rPr>
              <w:t>000</w:t>
            </w:r>
          </w:p>
        </w:tc>
      </w:tr>
      <w:tr w:rsidR="005C5C7C" w:rsidRPr="006670B2" w14:paraId="6CF6B557" w14:textId="77777777" w:rsidTr="007F5D57">
        <w:trPr>
          <w:trHeight w:val="320"/>
        </w:trPr>
        <w:tc>
          <w:tcPr>
            <w:tcW w:w="910" w:type="pct"/>
            <w:tcBorders>
              <w:top w:val="nil"/>
              <w:left w:val="nil"/>
              <w:bottom w:val="nil"/>
              <w:right w:val="nil"/>
            </w:tcBorders>
            <w:shd w:val="clear" w:color="auto" w:fill="auto"/>
            <w:noWrap/>
            <w:vAlign w:val="bottom"/>
            <w:hideMark/>
          </w:tcPr>
          <w:p w14:paraId="5CF5F5A4" w14:textId="77777777" w:rsidR="005C5C7C" w:rsidRPr="007F5D57" w:rsidRDefault="005C5C7C" w:rsidP="005455A9">
            <w:pPr>
              <w:rPr>
                <w:color w:val="000000"/>
                <w:sz w:val="20"/>
                <w:szCs w:val="20"/>
              </w:rPr>
            </w:pPr>
            <w:r w:rsidRPr="007F5D57">
              <w:rPr>
                <w:color w:val="000000"/>
                <w:sz w:val="20"/>
                <w:szCs w:val="20"/>
              </w:rPr>
              <w:lastRenderedPageBreak/>
              <w:t>Property area</w:t>
            </w:r>
          </w:p>
        </w:tc>
        <w:tc>
          <w:tcPr>
            <w:tcW w:w="432" w:type="pct"/>
            <w:tcBorders>
              <w:top w:val="nil"/>
              <w:left w:val="nil"/>
              <w:bottom w:val="nil"/>
              <w:right w:val="nil"/>
            </w:tcBorders>
            <w:shd w:val="clear" w:color="auto" w:fill="auto"/>
            <w:noWrap/>
            <w:vAlign w:val="bottom"/>
            <w:hideMark/>
          </w:tcPr>
          <w:p w14:paraId="62DD8CE9" w14:textId="19A48B30" w:rsidR="005C5C7C" w:rsidRPr="007F5D57" w:rsidRDefault="005C5C7C" w:rsidP="005455A9">
            <w:pPr>
              <w:rPr>
                <w:color w:val="000000"/>
                <w:sz w:val="20"/>
                <w:szCs w:val="20"/>
              </w:rPr>
            </w:pPr>
            <w:r w:rsidRPr="00DB7F1C">
              <w:rPr>
                <w:color w:val="000000"/>
                <w:sz w:val="20"/>
                <w:szCs w:val="20"/>
              </w:rPr>
              <w:t>M</w:t>
            </w:r>
            <w:r>
              <w:rPr>
                <w:color w:val="000000"/>
                <w:sz w:val="20"/>
                <w:szCs w:val="20"/>
                <w:vertAlign w:val="superscript"/>
              </w:rPr>
              <w:t>2</w:t>
            </w:r>
          </w:p>
        </w:tc>
        <w:tc>
          <w:tcPr>
            <w:tcW w:w="511" w:type="pct"/>
            <w:tcBorders>
              <w:top w:val="nil"/>
              <w:left w:val="nil"/>
              <w:bottom w:val="nil"/>
              <w:right w:val="nil"/>
            </w:tcBorders>
            <w:shd w:val="clear" w:color="auto" w:fill="auto"/>
            <w:noWrap/>
            <w:vAlign w:val="bottom"/>
            <w:hideMark/>
          </w:tcPr>
          <w:p w14:paraId="6873BBE8" w14:textId="77777777" w:rsidR="005C5C7C" w:rsidRPr="007F5D57" w:rsidRDefault="005C5C7C" w:rsidP="005455A9">
            <w:pPr>
              <w:rPr>
                <w:color w:val="000000"/>
                <w:sz w:val="20"/>
                <w:szCs w:val="20"/>
              </w:rPr>
            </w:pPr>
            <w:r w:rsidRPr="007F5D57">
              <w:rPr>
                <w:color w:val="000000"/>
                <w:sz w:val="20"/>
                <w:szCs w:val="20"/>
              </w:rPr>
              <w:t>Continuous</w:t>
            </w:r>
          </w:p>
        </w:tc>
        <w:tc>
          <w:tcPr>
            <w:tcW w:w="329" w:type="pct"/>
            <w:tcBorders>
              <w:top w:val="nil"/>
              <w:left w:val="nil"/>
              <w:bottom w:val="nil"/>
              <w:right w:val="nil"/>
            </w:tcBorders>
            <w:shd w:val="clear" w:color="auto" w:fill="auto"/>
            <w:noWrap/>
            <w:vAlign w:val="bottom"/>
            <w:hideMark/>
          </w:tcPr>
          <w:p w14:paraId="3AFC9763" w14:textId="77777777" w:rsidR="005C5C7C" w:rsidRPr="007F5D57" w:rsidRDefault="005C5C7C" w:rsidP="005455A9">
            <w:pPr>
              <w:jc w:val="right"/>
              <w:rPr>
                <w:color w:val="000000"/>
                <w:sz w:val="20"/>
                <w:szCs w:val="20"/>
              </w:rPr>
            </w:pPr>
            <w:r w:rsidRPr="007F5D57">
              <w:rPr>
                <w:color w:val="000000"/>
                <w:sz w:val="20"/>
                <w:szCs w:val="20"/>
              </w:rPr>
              <w:t>616</w:t>
            </w:r>
          </w:p>
        </w:tc>
        <w:tc>
          <w:tcPr>
            <w:tcW w:w="501" w:type="pct"/>
            <w:tcBorders>
              <w:top w:val="nil"/>
              <w:left w:val="nil"/>
              <w:bottom w:val="nil"/>
              <w:right w:val="nil"/>
            </w:tcBorders>
            <w:shd w:val="clear" w:color="auto" w:fill="auto"/>
            <w:noWrap/>
            <w:vAlign w:val="bottom"/>
            <w:hideMark/>
          </w:tcPr>
          <w:p w14:paraId="07487E38" w14:textId="120ED5A3" w:rsidR="005C5C7C" w:rsidRPr="007F5D57" w:rsidRDefault="005C5C7C" w:rsidP="005455A9">
            <w:pPr>
              <w:jc w:val="right"/>
              <w:rPr>
                <w:color w:val="000000"/>
                <w:sz w:val="20"/>
                <w:szCs w:val="20"/>
              </w:rPr>
            </w:pPr>
            <w:r w:rsidRPr="007F5D57">
              <w:rPr>
                <w:color w:val="000000"/>
                <w:sz w:val="20"/>
                <w:szCs w:val="20"/>
              </w:rPr>
              <w:t>14</w:t>
            </w:r>
            <w:r>
              <w:rPr>
                <w:color w:val="000000"/>
                <w:sz w:val="20"/>
                <w:szCs w:val="20"/>
              </w:rPr>
              <w:t>42</w:t>
            </w:r>
          </w:p>
        </w:tc>
        <w:tc>
          <w:tcPr>
            <w:tcW w:w="354" w:type="pct"/>
            <w:tcBorders>
              <w:top w:val="nil"/>
              <w:left w:val="nil"/>
              <w:bottom w:val="nil"/>
              <w:right w:val="nil"/>
            </w:tcBorders>
            <w:shd w:val="clear" w:color="auto" w:fill="auto"/>
            <w:noWrap/>
            <w:vAlign w:val="bottom"/>
            <w:hideMark/>
          </w:tcPr>
          <w:p w14:paraId="53C020FC" w14:textId="77777777" w:rsidR="005C5C7C" w:rsidRPr="007F5D57" w:rsidRDefault="005C5C7C" w:rsidP="005455A9">
            <w:pPr>
              <w:jc w:val="right"/>
              <w:rPr>
                <w:color w:val="000000"/>
                <w:sz w:val="20"/>
                <w:szCs w:val="20"/>
              </w:rPr>
            </w:pPr>
            <w:r w:rsidRPr="007F5D57">
              <w:rPr>
                <w:color w:val="000000"/>
                <w:sz w:val="20"/>
                <w:szCs w:val="20"/>
              </w:rPr>
              <w:t>1</w:t>
            </w:r>
          </w:p>
        </w:tc>
        <w:tc>
          <w:tcPr>
            <w:tcW w:w="460" w:type="pct"/>
            <w:tcBorders>
              <w:top w:val="nil"/>
              <w:left w:val="nil"/>
              <w:bottom w:val="nil"/>
              <w:right w:val="nil"/>
            </w:tcBorders>
            <w:shd w:val="clear" w:color="auto" w:fill="auto"/>
            <w:noWrap/>
            <w:vAlign w:val="bottom"/>
            <w:hideMark/>
          </w:tcPr>
          <w:p w14:paraId="0CBE3F91" w14:textId="2D70028B" w:rsidR="005C5C7C" w:rsidRPr="007F5D57" w:rsidRDefault="005C5C7C" w:rsidP="005455A9">
            <w:pPr>
              <w:jc w:val="right"/>
              <w:rPr>
                <w:color w:val="000000"/>
                <w:sz w:val="20"/>
                <w:szCs w:val="20"/>
              </w:rPr>
            </w:pPr>
            <w:r w:rsidRPr="007F5D57">
              <w:rPr>
                <w:color w:val="000000"/>
                <w:sz w:val="20"/>
                <w:szCs w:val="20"/>
              </w:rPr>
              <w:t>3</w:t>
            </w:r>
            <w:r>
              <w:rPr>
                <w:color w:val="000000"/>
                <w:sz w:val="20"/>
                <w:szCs w:val="20"/>
              </w:rPr>
              <w:t>84</w:t>
            </w:r>
          </w:p>
        </w:tc>
        <w:tc>
          <w:tcPr>
            <w:tcW w:w="460" w:type="pct"/>
            <w:tcBorders>
              <w:top w:val="nil"/>
              <w:left w:val="nil"/>
              <w:bottom w:val="nil"/>
              <w:right w:val="nil"/>
            </w:tcBorders>
            <w:shd w:val="clear" w:color="auto" w:fill="auto"/>
            <w:noWrap/>
            <w:vAlign w:val="bottom"/>
            <w:hideMark/>
          </w:tcPr>
          <w:p w14:paraId="799943E3" w14:textId="77777777" w:rsidR="005C5C7C" w:rsidRPr="007F5D57" w:rsidRDefault="005C5C7C" w:rsidP="005455A9">
            <w:pPr>
              <w:jc w:val="right"/>
              <w:rPr>
                <w:color w:val="000000"/>
                <w:sz w:val="20"/>
                <w:szCs w:val="20"/>
              </w:rPr>
            </w:pPr>
            <w:r w:rsidRPr="007F5D57">
              <w:rPr>
                <w:color w:val="000000"/>
                <w:sz w:val="20"/>
                <w:szCs w:val="20"/>
              </w:rPr>
              <w:t>911</w:t>
            </w:r>
          </w:p>
        </w:tc>
        <w:tc>
          <w:tcPr>
            <w:tcW w:w="501" w:type="pct"/>
            <w:tcBorders>
              <w:top w:val="nil"/>
              <w:left w:val="nil"/>
              <w:bottom w:val="nil"/>
              <w:right w:val="nil"/>
            </w:tcBorders>
            <w:shd w:val="clear" w:color="auto" w:fill="auto"/>
            <w:noWrap/>
            <w:vAlign w:val="bottom"/>
            <w:hideMark/>
          </w:tcPr>
          <w:p w14:paraId="07CE4DBC" w14:textId="368BDCA5" w:rsidR="005C5C7C" w:rsidRPr="007F5D57" w:rsidRDefault="005C5C7C" w:rsidP="005455A9">
            <w:pPr>
              <w:jc w:val="right"/>
              <w:rPr>
                <w:color w:val="000000"/>
                <w:sz w:val="20"/>
                <w:szCs w:val="20"/>
              </w:rPr>
            </w:pPr>
            <w:r w:rsidRPr="007F5D57">
              <w:rPr>
                <w:color w:val="000000"/>
                <w:sz w:val="20"/>
                <w:szCs w:val="20"/>
              </w:rPr>
              <w:t>182</w:t>
            </w:r>
            <w:r>
              <w:rPr>
                <w:color w:val="000000"/>
                <w:sz w:val="20"/>
                <w:szCs w:val="20"/>
              </w:rPr>
              <w:t>4</w:t>
            </w:r>
          </w:p>
        </w:tc>
        <w:tc>
          <w:tcPr>
            <w:tcW w:w="543" w:type="pct"/>
            <w:tcBorders>
              <w:top w:val="nil"/>
              <w:left w:val="nil"/>
              <w:bottom w:val="nil"/>
              <w:right w:val="nil"/>
            </w:tcBorders>
            <w:shd w:val="clear" w:color="auto" w:fill="auto"/>
            <w:noWrap/>
            <w:vAlign w:val="bottom"/>
            <w:hideMark/>
          </w:tcPr>
          <w:p w14:paraId="1088D8ED" w14:textId="77777777" w:rsidR="005C5C7C" w:rsidRPr="007F5D57" w:rsidRDefault="005C5C7C" w:rsidP="005455A9">
            <w:pPr>
              <w:jc w:val="right"/>
              <w:rPr>
                <w:color w:val="000000"/>
                <w:sz w:val="20"/>
                <w:szCs w:val="20"/>
              </w:rPr>
            </w:pPr>
            <w:r w:rsidRPr="007F5D57">
              <w:rPr>
                <w:color w:val="000000"/>
                <w:sz w:val="20"/>
                <w:szCs w:val="20"/>
              </w:rPr>
              <w:t>9395</w:t>
            </w:r>
          </w:p>
        </w:tc>
      </w:tr>
      <w:tr w:rsidR="005C5C7C" w:rsidRPr="006670B2" w14:paraId="58871078" w14:textId="77777777" w:rsidTr="007F5D57">
        <w:trPr>
          <w:trHeight w:val="320"/>
        </w:trPr>
        <w:tc>
          <w:tcPr>
            <w:tcW w:w="910" w:type="pct"/>
            <w:tcBorders>
              <w:top w:val="nil"/>
              <w:left w:val="nil"/>
              <w:bottom w:val="nil"/>
              <w:right w:val="nil"/>
            </w:tcBorders>
            <w:shd w:val="clear" w:color="auto" w:fill="auto"/>
            <w:noWrap/>
            <w:vAlign w:val="bottom"/>
            <w:hideMark/>
          </w:tcPr>
          <w:p w14:paraId="4F97C21E" w14:textId="70B5593A" w:rsidR="005C5C7C" w:rsidRPr="007F5D57" w:rsidRDefault="005C5C7C" w:rsidP="005455A9">
            <w:pPr>
              <w:rPr>
                <w:color w:val="000000"/>
                <w:sz w:val="20"/>
                <w:szCs w:val="20"/>
              </w:rPr>
            </w:pPr>
            <w:r w:rsidRPr="007F5D57">
              <w:rPr>
                <w:color w:val="000000"/>
                <w:sz w:val="20"/>
                <w:szCs w:val="20"/>
              </w:rPr>
              <w:t>Property ID</w:t>
            </w:r>
          </w:p>
        </w:tc>
        <w:tc>
          <w:tcPr>
            <w:tcW w:w="432" w:type="pct"/>
            <w:tcBorders>
              <w:top w:val="nil"/>
              <w:left w:val="nil"/>
              <w:bottom w:val="nil"/>
              <w:right w:val="nil"/>
            </w:tcBorders>
            <w:shd w:val="clear" w:color="auto" w:fill="auto"/>
            <w:noWrap/>
            <w:vAlign w:val="bottom"/>
            <w:hideMark/>
          </w:tcPr>
          <w:p w14:paraId="0BFEC7F4" w14:textId="330527C5" w:rsidR="005C5C7C" w:rsidRPr="007F5D57" w:rsidRDefault="005C5C7C" w:rsidP="005455A9">
            <w:pPr>
              <w:rPr>
                <w:color w:val="000000"/>
                <w:sz w:val="20"/>
                <w:szCs w:val="20"/>
                <w:vertAlign w:val="superscript"/>
              </w:rPr>
            </w:pPr>
          </w:p>
        </w:tc>
        <w:tc>
          <w:tcPr>
            <w:tcW w:w="511" w:type="pct"/>
            <w:tcBorders>
              <w:top w:val="nil"/>
              <w:left w:val="nil"/>
              <w:bottom w:val="nil"/>
              <w:right w:val="nil"/>
            </w:tcBorders>
            <w:shd w:val="clear" w:color="auto" w:fill="auto"/>
            <w:noWrap/>
            <w:vAlign w:val="bottom"/>
            <w:hideMark/>
          </w:tcPr>
          <w:p w14:paraId="484980F4" w14:textId="261530A7" w:rsidR="005C5C7C" w:rsidRPr="007F5D57" w:rsidRDefault="005C5C7C" w:rsidP="005455A9">
            <w:pPr>
              <w:rPr>
                <w:color w:val="000000"/>
                <w:sz w:val="20"/>
                <w:szCs w:val="20"/>
              </w:rPr>
            </w:pPr>
            <w:r w:rsidRPr="007F5D57">
              <w:rPr>
                <w:color w:val="000000"/>
                <w:sz w:val="20"/>
                <w:szCs w:val="20"/>
              </w:rPr>
              <w:t>Integer</w:t>
            </w:r>
          </w:p>
        </w:tc>
        <w:tc>
          <w:tcPr>
            <w:tcW w:w="329" w:type="pct"/>
            <w:tcBorders>
              <w:top w:val="nil"/>
              <w:left w:val="nil"/>
              <w:bottom w:val="nil"/>
              <w:right w:val="nil"/>
            </w:tcBorders>
            <w:shd w:val="clear" w:color="auto" w:fill="auto"/>
            <w:noWrap/>
            <w:vAlign w:val="bottom"/>
            <w:hideMark/>
          </w:tcPr>
          <w:p w14:paraId="46E4FC03" w14:textId="6D3BF630" w:rsidR="005C5C7C" w:rsidRPr="007F5D57" w:rsidRDefault="005C5C7C" w:rsidP="005455A9">
            <w:pPr>
              <w:jc w:val="right"/>
              <w:rPr>
                <w:color w:val="000000"/>
                <w:sz w:val="20"/>
                <w:szCs w:val="20"/>
              </w:rPr>
            </w:pPr>
            <w:r w:rsidRPr="007F5D57">
              <w:rPr>
                <w:color w:val="000000"/>
                <w:sz w:val="20"/>
                <w:szCs w:val="20"/>
              </w:rPr>
              <w:t>616</w:t>
            </w:r>
          </w:p>
        </w:tc>
        <w:tc>
          <w:tcPr>
            <w:tcW w:w="501" w:type="pct"/>
            <w:tcBorders>
              <w:top w:val="nil"/>
              <w:left w:val="nil"/>
              <w:bottom w:val="nil"/>
              <w:right w:val="nil"/>
            </w:tcBorders>
            <w:shd w:val="clear" w:color="auto" w:fill="auto"/>
            <w:noWrap/>
            <w:vAlign w:val="bottom"/>
            <w:hideMark/>
          </w:tcPr>
          <w:p w14:paraId="59A4E418" w14:textId="30607F62" w:rsidR="005C5C7C" w:rsidRPr="007F5D57" w:rsidRDefault="005C5C7C" w:rsidP="005455A9">
            <w:pPr>
              <w:jc w:val="right"/>
              <w:rPr>
                <w:color w:val="000000"/>
                <w:sz w:val="20"/>
                <w:szCs w:val="20"/>
              </w:rPr>
            </w:pPr>
          </w:p>
        </w:tc>
        <w:tc>
          <w:tcPr>
            <w:tcW w:w="354" w:type="pct"/>
            <w:tcBorders>
              <w:top w:val="nil"/>
              <w:left w:val="nil"/>
              <w:bottom w:val="nil"/>
              <w:right w:val="nil"/>
            </w:tcBorders>
            <w:shd w:val="clear" w:color="auto" w:fill="auto"/>
            <w:noWrap/>
            <w:vAlign w:val="bottom"/>
            <w:hideMark/>
          </w:tcPr>
          <w:p w14:paraId="1AF83774" w14:textId="015DA65F" w:rsidR="005C5C7C" w:rsidRPr="007F5D57" w:rsidRDefault="005C5C7C" w:rsidP="005455A9">
            <w:pPr>
              <w:jc w:val="right"/>
              <w:rPr>
                <w:color w:val="000000"/>
                <w:sz w:val="20"/>
                <w:szCs w:val="20"/>
              </w:rPr>
            </w:pPr>
          </w:p>
        </w:tc>
        <w:tc>
          <w:tcPr>
            <w:tcW w:w="460" w:type="pct"/>
            <w:tcBorders>
              <w:top w:val="nil"/>
              <w:left w:val="nil"/>
              <w:bottom w:val="nil"/>
              <w:right w:val="nil"/>
            </w:tcBorders>
            <w:shd w:val="clear" w:color="auto" w:fill="auto"/>
            <w:noWrap/>
            <w:vAlign w:val="bottom"/>
            <w:hideMark/>
          </w:tcPr>
          <w:p w14:paraId="3F741676" w14:textId="00C42DCF" w:rsidR="005C5C7C" w:rsidRPr="007F5D57" w:rsidRDefault="005C5C7C" w:rsidP="005455A9">
            <w:pPr>
              <w:jc w:val="right"/>
              <w:rPr>
                <w:color w:val="000000"/>
                <w:sz w:val="20"/>
                <w:szCs w:val="20"/>
              </w:rPr>
            </w:pPr>
          </w:p>
        </w:tc>
        <w:tc>
          <w:tcPr>
            <w:tcW w:w="460" w:type="pct"/>
            <w:tcBorders>
              <w:top w:val="nil"/>
              <w:left w:val="nil"/>
              <w:bottom w:val="nil"/>
              <w:right w:val="nil"/>
            </w:tcBorders>
            <w:shd w:val="clear" w:color="auto" w:fill="auto"/>
            <w:noWrap/>
            <w:vAlign w:val="bottom"/>
            <w:hideMark/>
          </w:tcPr>
          <w:p w14:paraId="638E84FB" w14:textId="011E0C05" w:rsidR="005C5C7C" w:rsidRPr="007F5D57" w:rsidRDefault="005C5C7C" w:rsidP="005455A9">
            <w:pPr>
              <w:jc w:val="right"/>
              <w:rPr>
                <w:color w:val="000000"/>
                <w:sz w:val="20"/>
                <w:szCs w:val="20"/>
              </w:rPr>
            </w:pPr>
          </w:p>
        </w:tc>
        <w:tc>
          <w:tcPr>
            <w:tcW w:w="501" w:type="pct"/>
            <w:tcBorders>
              <w:top w:val="nil"/>
              <w:left w:val="nil"/>
              <w:bottom w:val="nil"/>
              <w:right w:val="nil"/>
            </w:tcBorders>
            <w:shd w:val="clear" w:color="auto" w:fill="auto"/>
            <w:noWrap/>
            <w:vAlign w:val="bottom"/>
            <w:hideMark/>
          </w:tcPr>
          <w:p w14:paraId="6D908266" w14:textId="78BFCE49" w:rsidR="005C5C7C" w:rsidRPr="007F5D57" w:rsidRDefault="005C5C7C" w:rsidP="005455A9">
            <w:pPr>
              <w:jc w:val="right"/>
              <w:rPr>
                <w:color w:val="000000"/>
                <w:sz w:val="20"/>
                <w:szCs w:val="20"/>
              </w:rPr>
            </w:pPr>
          </w:p>
        </w:tc>
        <w:tc>
          <w:tcPr>
            <w:tcW w:w="543" w:type="pct"/>
            <w:tcBorders>
              <w:top w:val="nil"/>
              <w:left w:val="nil"/>
              <w:bottom w:val="nil"/>
              <w:right w:val="nil"/>
            </w:tcBorders>
            <w:shd w:val="clear" w:color="auto" w:fill="auto"/>
            <w:noWrap/>
            <w:vAlign w:val="bottom"/>
            <w:hideMark/>
          </w:tcPr>
          <w:p w14:paraId="5BE76E80" w14:textId="7159C426" w:rsidR="005C5C7C" w:rsidRPr="007F5D57" w:rsidRDefault="005C5C7C" w:rsidP="005455A9">
            <w:pPr>
              <w:jc w:val="right"/>
              <w:rPr>
                <w:color w:val="000000"/>
                <w:sz w:val="20"/>
                <w:szCs w:val="20"/>
              </w:rPr>
            </w:pPr>
          </w:p>
        </w:tc>
      </w:tr>
      <w:tr w:rsidR="005C5C7C" w:rsidRPr="006670B2" w14:paraId="4A1D6647" w14:textId="77777777" w:rsidTr="007F5D57">
        <w:trPr>
          <w:trHeight w:val="320"/>
        </w:trPr>
        <w:tc>
          <w:tcPr>
            <w:tcW w:w="910" w:type="pct"/>
            <w:tcBorders>
              <w:top w:val="nil"/>
              <w:left w:val="nil"/>
              <w:bottom w:val="nil"/>
              <w:right w:val="nil"/>
            </w:tcBorders>
            <w:shd w:val="clear" w:color="auto" w:fill="auto"/>
            <w:noWrap/>
            <w:vAlign w:val="bottom"/>
            <w:hideMark/>
          </w:tcPr>
          <w:p w14:paraId="508FC1FB" w14:textId="34666BBF" w:rsidR="005C5C7C" w:rsidRPr="007F5D57" w:rsidRDefault="005C5C7C" w:rsidP="005455A9">
            <w:pPr>
              <w:rPr>
                <w:color w:val="000000"/>
                <w:sz w:val="20"/>
                <w:szCs w:val="20"/>
              </w:rPr>
            </w:pPr>
            <w:r w:rsidRPr="007F5D57">
              <w:rPr>
                <w:color w:val="000000"/>
                <w:sz w:val="20"/>
                <w:szCs w:val="20"/>
              </w:rPr>
              <w:t>Total lots</w:t>
            </w:r>
          </w:p>
        </w:tc>
        <w:tc>
          <w:tcPr>
            <w:tcW w:w="432" w:type="pct"/>
            <w:tcBorders>
              <w:top w:val="nil"/>
              <w:left w:val="nil"/>
              <w:bottom w:val="nil"/>
              <w:right w:val="nil"/>
            </w:tcBorders>
            <w:shd w:val="clear" w:color="auto" w:fill="auto"/>
            <w:noWrap/>
            <w:vAlign w:val="bottom"/>
            <w:hideMark/>
          </w:tcPr>
          <w:p w14:paraId="361193B9" w14:textId="79AE8480" w:rsidR="005C5C7C" w:rsidRPr="007F5D57" w:rsidRDefault="005C5C7C" w:rsidP="005455A9">
            <w:pPr>
              <w:rPr>
                <w:color w:val="000000"/>
                <w:sz w:val="20"/>
                <w:szCs w:val="20"/>
              </w:rPr>
            </w:pPr>
            <w:r>
              <w:rPr>
                <w:color w:val="000000"/>
                <w:sz w:val="20"/>
                <w:szCs w:val="20"/>
              </w:rPr>
              <w:t>Count</w:t>
            </w:r>
          </w:p>
        </w:tc>
        <w:tc>
          <w:tcPr>
            <w:tcW w:w="511" w:type="pct"/>
            <w:tcBorders>
              <w:top w:val="nil"/>
              <w:left w:val="nil"/>
              <w:bottom w:val="nil"/>
              <w:right w:val="nil"/>
            </w:tcBorders>
            <w:shd w:val="clear" w:color="auto" w:fill="auto"/>
            <w:noWrap/>
            <w:vAlign w:val="bottom"/>
            <w:hideMark/>
          </w:tcPr>
          <w:p w14:paraId="5B5CFC5E" w14:textId="20AE4313" w:rsidR="005C5C7C" w:rsidRPr="007F5D57" w:rsidRDefault="005C5C7C" w:rsidP="005455A9">
            <w:pPr>
              <w:rPr>
                <w:color w:val="000000"/>
                <w:sz w:val="20"/>
                <w:szCs w:val="20"/>
              </w:rPr>
            </w:pPr>
            <w:r w:rsidRPr="007F5D57">
              <w:rPr>
                <w:color w:val="000000"/>
                <w:sz w:val="20"/>
                <w:szCs w:val="20"/>
              </w:rPr>
              <w:t>Integer</w:t>
            </w:r>
          </w:p>
        </w:tc>
        <w:tc>
          <w:tcPr>
            <w:tcW w:w="329" w:type="pct"/>
            <w:tcBorders>
              <w:top w:val="nil"/>
              <w:left w:val="nil"/>
              <w:bottom w:val="nil"/>
              <w:right w:val="nil"/>
            </w:tcBorders>
            <w:shd w:val="clear" w:color="auto" w:fill="auto"/>
            <w:noWrap/>
            <w:vAlign w:val="bottom"/>
            <w:hideMark/>
          </w:tcPr>
          <w:p w14:paraId="194A8C06" w14:textId="10D4D83C" w:rsidR="005C5C7C" w:rsidRPr="007F5D57" w:rsidRDefault="005C5C7C" w:rsidP="005455A9">
            <w:pPr>
              <w:jc w:val="right"/>
              <w:rPr>
                <w:color w:val="000000"/>
                <w:sz w:val="20"/>
                <w:szCs w:val="20"/>
              </w:rPr>
            </w:pPr>
            <w:r w:rsidRPr="007F5D57">
              <w:rPr>
                <w:color w:val="000000"/>
                <w:sz w:val="20"/>
                <w:szCs w:val="20"/>
              </w:rPr>
              <w:t>616</w:t>
            </w:r>
          </w:p>
        </w:tc>
        <w:tc>
          <w:tcPr>
            <w:tcW w:w="501" w:type="pct"/>
            <w:tcBorders>
              <w:top w:val="nil"/>
              <w:left w:val="nil"/>
              <w:bottom w:val="nil"/>
              <w:right w:val="nil"/>
            </w:tcBorders>
            <w:shd w:val="clear" w:color="auto" w:fill="auto"/>
            <w:noWrap/>
            <w:vAlign w:val="bottom"/>
            <w:hideMark/>
          </w:tcPr>
          <w:p w14:paraId="5BEA8EE8" w14:textId="0DF0EB7B" w:rsidR="005C5C7C" w:rsidRPr="007F5D57" w:rsidRDefault="005C5C7C" w:rsidP="005455A9">
            <w:pPr>
              <w:jc w:val="right"/>
              <w:rPr>
                <w:color w:val="000000"/>
                <w:sz w:val="20"/>
                <w:szCs w:val="20"/>
              </w:rPr>
            </w:pPr>
            <w:r>
              <w:rPr>
                <w:color w:val="000000"/>
                <w:sz w:val="20"/>
                <w:szCs w:val="20"/>
              </w:rPr>
              <w:t>20.88</w:t>
            </w:r>
          </w:p>
        </w:tc>
        <w:tc>
          <w:tcPr>
            <w:tcW w:w="354" w:type="pct"/>
            <w:tcBorders>
              <w:top w:val="nil"/>
              <w:left w:val="nil"/>
              <w:bottom w:val="nil"/>
              <w:right w:val="nil"/>
            </w:tcBorders>
            <w:shd w:val="clear" w:color="auto" w:fill="auto"/>
            <w:noWrap/>
            <w:vAlign w:val="bottom"/>
            <w:hideMark/>
          </w:tcPr>
          <w:p w14:paraId="54D15AEF" w14:textId="656AA423" w:rsidR="005C5C7C" w:rsidRPr="007F5D57" w:rsidRDefault="005C5C7C" w:rsidP="005455A9">
            <w:pPr>
              <w:rPr>
                <w:sz w:val="20"/>
                <w:szCs w:val="20"/>
              </w:rPr>
            </w:pPr>
            <w:r>
              <w:rPr>
                <w:sz w:val="20"/>
                <w:szCs w:val="20"/>
              </w:rPr>
              <w:t>1</w:t>
            </w:r>
          </w:p>
        </w:tc>
        <w:tc>
          <w:tcPr>
            <w:tcW w:w="460" w:type="pct"/>
            <w:tcBorders>
              <w:top w:val="nil"/>
              <w:left w:val="nil"/>
              <w:bottom w:val="nil"/>
              <w:right w:val="nil"/>
            </w:tcBorders>
            <w:shd w:val="clear" w:color="auto" w:fill="auto"/>
            <w:noWrap/>
            <w:vAlign w:val="bottom"/>
            <w:hideMark/>
          </w:tcPr>
          <w:p w14:paraId="7E9A5C36" w14:textId="6B13ADCD" w:rsidR="005C5C7C" w:rsidRPr="007F5D57" w:rsidRDefault="005C5C7C" w:rsidP="005455A9">
            <w:pPr>
              <w:rPr>
                <w:sz w:val="20"/>
                <w:szCs w:val="20"/>
              </w:rPr>
            </w:pPr>
            <w:r>
              <w:rPr>
                <w:sz w:val="20"/>
                <w:szCs w:val="20"/>
              </w:rPr>
              <w:t>1</w:t>
            </w:r>
          </w:p>
        </w:tc>
        <w:tc>
          <w:tcPr>
            <w:tcW w:w="460" w:type="pct"/>
            <w:tcBorders>
              <w:top w:val="nil"/>
              <w:left w:val="nil"/>
              <w:bottom w:val="nil"/>
              <w:right w:val="nil"/>
            </w:tcBorders>
            <w:shd w:val="clear" w:color="auto" w:fill="auto"/>
            <w:noWrap/>
            <w:vAlign w:val="bottom"/>
            <w:hideMark/>
          </w:tcPr>
          <w:p w14:paraId="02D07836" w14:textId="5971520E" w:rsidR="005C5C7C" w:rsidRPr="007F5D57" w:rsidRDefault="005C5C7C" w:rsidP="005455A9">
            <w:pPr>
              <w:rPr>
                <w:sz w:val="20"/>
                <w:szCs w:val="20"/>
              </w:rPr>
            </w:pPr>
            <w:r>
              <w:rPr>
                <w:sz w:val="20"/>
                <w:szCs w:val="20"/>
              </w:rPr>
              <w:t>1</w:t>
            </w:r>
          </w:p>
        </w:tc>
        <w:tc>
          <w:tcPr>
            <w:tcW w:w="501" w:type="pct"/>
            <w:tcBorders>
              <w:top w:val="nil"/>
              <w:left w:val="nil"/>
              <w:bottom w:val="nil"/>
              <w:right w:val="nil"/>
            </w:tcBorders>
            <w:shd w:val="clear" w:color="auto" w:fill="auto"/>
            <w:noWrap/>
            <w:vAlign w:val="bottom"/>
            <w:hideMark/>
          </w:tcPr>
          <w:p w14:paraId="12A05502" w14:textId="490A802B" w:rsidR="005C5C7C" w:rsidRPr="007F5D57" w:rsidRDefault="005C5C7C" w:rsidP="005455A9">
            <w:pPr>
              <w:rPr>
                <w:sz w:val="20"/>
                <w:szCs w:val="20"/>
              </w:rPr>
            </w:pPr>
            <w:r>
              <w:rPr>
                <w:sz w:val="20"/>
                <w:szCs w:val="20"/>
              </w:rPr>
              <w:t>3</w:t>
            </w:r>
          </w:p>
        </w:tc>
        <w:tc>
          <w:tcPr>
            <w:tcW w:w="543" w:type="pct"/>
            <w:tcBorders>
              <w:top w:val="nil"/>
              <w:left w:val="nil"/>
              <w:bottom w:val="nil"/>
              <w:right w:val="nil"/>
            </w:tcBorders>
            <w:shd w:val="clear" w:color="auto" w:fill="auto"/>
            <w:noWrap/>
            <w:vAlign w:val="bottom"/>
            <w:hideMark/>
          </w:tcPr>
          <w:p w14:paraId="2BE9F9B5" w14:textId="6B8523D5" w:rsidR="005C5C7C" w:rsidRPr="007F5D57" w:rsidRDefault="005C5C7C" w:rsidP="005455A9">
            <w:pPr>
              <w:rPr>
                <w:sz w:val="20"/>
                <w:szCs w:val="20"/>
              </w:rPr>
            </w:pPr>
            <w:r>
              <w:rPr>
                <w:sz w:val="20"/>
                <w:szCs w:val="20"/>
              </w:rPr>
              <w:t>467</w:t>
            </w:r>
          </w:p>
        </w:tc>
      </w:tr>
      <w:tr w:rsidR="005C5C7C" w:rsidRPr="006670B2" w14:paraId="35B9EAEC" w14:textId="77777777" w:rsidTr="007F5D57">
        <w:trPr>
          <w:trHeight w:val="320"/>
        </w:trPr>
        <w:tc>
          <w:tcPr>
            <w:tcW w:w="910" w:type="pct"/>
            <w:tcBorders>
              <w:top w:val="nil"/>
              <w:left w:val="nil"/>
              <w:bottom w:val="nil"/>
              <w:right w:val="nil"/>
            </w:tcBorders>
            <w:shd w:val="clear" w:color="auto" w:fill="auto"/>
            <w:noWrap/>
            <w:vAlign w:val="bottom"/>
            <w:hideMark/>
          </w:tcPr>
          <w:p w14:paraId="64E97D3E" w14:textId="2D472EEE" w:rsidR="005C5C7C" w:rsidRPr="007F5D57" w:rsidRDefault="005C5C7C" w:rsidP="005455A9">
            <w:pPr>
              <w:rPr>
                <w:color w:val="000000"/>
                <w:sz w:val="20"/>
                <w:szCs w:val="20"/>
              </w:rPr>
            </w:pPr>
            <w:r w:rsidRPr="007F5D57">
              <w:rPr>
                <w:color w:val="000000"/>
                <w:sz w:val="20"/>
                <w:szCs w:val="20"/>
              </w:rPr>
              <w:t>WithinPrecinct</w:t>
            </w:r>
          </w:p>
        </w:tc>
        <w:tc>
          <w:tcPr>
            <w:tcW w:w="432" w:type="pct"/>
            <w:tcBorders>
              <w:top w:val="nil"/>
              <w:left w:val="nil"/>
              <w:bottom w:val="nil"/>
              <w:right w:val="nil"/>
            </w:tcBorders>
            <w:shd w:val="clear" w:color="auto" w:fill="auto"/>
            <w:noWrap/>
            <w:vAlign w:val="bottom"/>
            <w:hideMark/>
          </w:tcPr>
          <w:p w14:paraId="6C76B05A" w14:textId="19634215" w:rsidR="005C5C7C" w:rsidRPr="007F5D57" w:rsidRDefault="005C5C7C" w:rsidP="005455A9">
            <w:pPr>
              <w:rPr>
                <w:color w:val="000000"/>
                <w:sz w:val="20"/>
                <w:szCs w:val="20"/>
              </w:rPr>
            </w:pPr>
            <w:r w:rsidRPr="007F5D57">
              <w:rPr>
                <w:color w:val="000000"/>
                <w:sz w:val="20"/>
                <w:szCs w:val="20"/>
              </w:rPr>
              <w:t>Binary</w:t>
            </w:r>
          </w:p>
        </w:tc>
        <w:tc>
          <w:tcPr>
            <w:tcW w:w="511" w:type="pct"/>
            <w:tcBorders>
              <w:top w:val="nil"/>
              <w:left w:val="nil"/>
              <w:bottom w:val="nil"/>
              <w:right w:val="nil"/>
            </w:tcBorders>
            <w:shd w:val="clear" w:color="auto" w:fill="auto"/>
            <w:noWrap/>
            <w:vAlign w:val="bottom"/>
            <w:hideMark/>
          </w:tcPr>
          <w:p w14:paraId="20585E10" w14:textId="3E780711" w:rsidR="005C5C7C" w:rsidRPr="007F5D57" w:rsidRDefault="005C5C7C" w:rsidP="005455A9">
            <w:pPr>
              <w:rPr>
                <w:color w:val="000000"/>
                <w:sz w:val="20"/>
                <w:szCs w:val="20"/>
              </w:rPr>
            </w:pPr>
            <w:r w:rsidRPr="007F5D57">
              <w:rPr>
                <w:color w:val="000000"/>
                <w:sz w:val="20"/>
                <w:szCs w:val="20"/>
              </w:rPr>
              <w:t>Binary</w:t>
            </w:r>
          </w:p>
        </w:tc>
        <w:tc>
          <w:tcPr>
            <w:tcW w:w="329" w:type="pct"/>
            <w:tcBorders>
              <w:top w:val="nil"/>
              <w:left w:val="nil"/>
              <w:bottom w:val="nil"/>
              <w:right w:val="nil"/>
            </w:tcBorders>
            <w:shd w:val="clear" w:color="auto" w:fill="auto"/>
            <w:noWrap/>
            <w:vAlign w:val="bottom"/>
            <w:hideMark/>
          </w:tcPr>
          <w:p w14:paraId="791D5EE8" w14:textId="1BFB2F13" w:rsidR="005C5C7C" w:rsidRPr="007F5D57" w:rsidRDefault="005C5C7C" w:rsidP="005455A9">
            <w:pPr>
              <w:jc w:val="right"/>
              <w:rPr>
                <w:color w:val="000000"/>
                <w:sz w:val="20"/>
                <w:szCs w:val="20"/>
              </w:rPr>
            </w:pPr>
            <w:r w:rsidRPr="007F5D57">
              <w:rPr>
                <w:color w:val="000000"/>
                <w:sz w:val="20"/>
                <w:szCs w:val="20"/>
              </w:rPr>
              <w:t>616</w:t>
            </w:r>
          </w:p>
        </w:tc>
        <w:tc>
          <w:tcPr>
            <w:tcW w:w="501" w:type="pct"/>
            <w:tcBorders>
              <w:top w:val="nil"/>
              <w:left w:val="nil"/>
              <w:bottom w:val="nil"/>
              <w:right w:val="nil"/>
            </w:tcBorders>
            <w:shd w:val="clear" w:color="auto" w:fill="auto"/>
            <w:noWrap/>
            <w:vAlign w:val="bottom"/>
            <w:hideMark/>
          </w:tcPr>
          <w:p w14:paraId="76CED4FA" w14:textId="77777777" w:rsidR="005C5C7C" w:rsidRPr="007F5D57" w:rsidRDefault="005C5C7C" w:rsidP="005455A9">
            <w:pPr>
              <w:jc w:val="right"/>
              <w:rPr>
                <w:color w:val="000000"/>
                <w:sz w:val="20"/>
                <w:szCs w:val="20"/>
              </w:rPr>
            </w:pPr>
          </w:p>
        </w:tc>
        <w:tc>
          <w:tcPr>
            <w:tcW w:w="354" w:type="pct"/>
            <w:tcBorders>
              <w:top w:val="nil"/>
              <w:left w:val="nil"/>
              <w:bottom w:val="nil"/>
              <w:right w:val="nil"/>
            </w:tcBorders>
            <w:shd w:val="clear" w:color="auto" w:fill="auto"/>
            <w:noWrap/>
            <w:vAlign w:val="bottom"/>
            <w:hideMark/>
          </w:tcPr>
          <w:p w14:paraId="1EFB7DB1" w14:textId="77777777" w:rsidR="005C5C7C" w:rsidRPr="007F5D57" w:rsidRDefault="005C5C7C" w:rsidP="005455A9">
            <w:pPr>
              <w:rPr>
                <w:sz w:val="20"/>
                <w:szCs w:val="20"/>
              </w:rPr>
            </w:pPr>
          </w:p>
        </w:tc>
        <w:tc>
          <w:tcPr>
            <w:tcW w:w="460" w:type="pct"/>
            <w:tcBorders>
              <w:top w:val="nil"/>
              <w:left w:val="nil"/>
              <w:bottom w:val="nil"/>
              <w:right w:val="nil"/>
            </w:tcBorders>
            <w:shd w:val="clear" w:color="auto" w:fill="auto"/>
            <w:noWrap/>
            <w:vAlign w:val="bottom"/>
            <w:hideMark/>
          </w:tcPr>
          <w:p w14:paraId="3111A5C6" w14:textId="77777777" w:rsidR="005C5C7C" w:rsidRPr="007F5D57" w:rsidRDefault="005C5C7C" w:rsidP="005455A9">
            <w:pPr>
              <w:rPr>
                <w:sz w:val="20"/>
                <w:szCs w:val="20"/>
              </w:rPr>
            </w:pPr>
          </w:p>
        </w:tc>
        <w:tc>
          <w:tcPr>
            <w:tcW w:w="460" w:type="pct"/>
            <w:tcBorders>
              <w:top w:val="nil"/>
              <w:left w:val="nil"/>
              <w:bottom w:val="nil"/>
              <w:right w:val="nil"/>
            </w:tcBorders>
            <w:shd w:val="clear" w:color="auto" w:fill="auto"/>
            <w:noWrap/>
            <w:vAlign w:val="bottom"/>
            <w:hideMark/>
          </w:tcPr>
          <w:p w14:paraId="0D1178CC" w14:textId="77777777" w:rsidR="005C5C7C" w:rsidRPr="007F5D57" w:rsidRDefault="005C5C7C" w:rsidP="005455A9">
            <w:pPr>
              <w:rPr>
                <w:sz w:val="20"/>
                <w:szCs w:val="20"/>
              </w:rPr>
            </w:pPr>
          </w:p>
        </w:tc>
        <w:tc>
          <w:tcPr>
            <w:tcW w:w="501" w:type="pct"/>
            <w:tcBorders>
              <w:top w:val="nil"/>
              <w:left w:val="nil"/>
              <w:bottom w:val="nil"/>
              <w:right w:val="nil"/>
            </w:tcBorders>
            <w:shd w:val="clear" w:color="auto" w:fill="auto"/>
            <w:noWrap/>
            <w:vAlign w:val="bottom"/>
            <w:hideMark/>
          </w:tcPr>
          <w:p w14:paraId="7253D1BE" w14:textId="77777777" w:rsidR="005C5C7C" w:rsidRPr="007F5D57" w:rsidRDefault="005C5C7C" w:rsidP="005455A9">
            <w:pPr>
              <w:rPr>
                <w:sz w:val="20"/>
                <w:szCs w:val="20"/>
              </w:rPr>
            </w:pPr>
          </w:p>
        </w:tc>
        <w:tc>
          <w:tcPr>
            <w:tcW w:w="543" w:type="pct"/>
            <w:tcBorders>
              <w:top w:val="nil"/>
              <w:left w:val="nil"/>
              <w:bottom w:val="nil"/>
              <w:right w:val="nil"/>
            </w:tcBorders>
            <w:shd w:val="clear" w:color="auto" w:fill="auto"/>
            <w:noWrap/>
            <w:vAlign w:val="bottom"/>
            <w:hideMark/>
          </w:tcPr>
          <w:p w14:paraId="14A2699A" w14:textId="77777777" w:rsidR="005C5C7C" w:rsidRPr="007F5D57" w:rsidRDefault="005C5C7C" w:rsidP="005455A9">
            <w:pPr>
              <w:rPr>
                <w:sz w:val="20"/>
                <w:szCs w:val="20"/>
              </w:rPr>
            </w:pPr>
          </w:p>
        </w:tc>
      </w:tr>
      <w:tr w:rsidR="005C5C7C" w:rsidRPr="006670B2" w14:paraId="4DD3B6A9" w14:textId="77777777" w:rsidTr="007F5D57">
        <w:trPr>
          <w:trHeight w:val="320"/>
        </w:trPr>
        <w:tc>
          <w:tcPr>
            <w:tcW w:w="910" w:type="pct"/>
            <w:tcBorders>
              <w:top w:val="nil"/>
              <w:left w:val="nil"/>
              <w:bottom w:val="nil"/>
              <w:right w:val="nil"/>
            </w:tcBorders>
            <w:shd w:val="clear" w:color="auto" w:fill="auto"/>
            <w:noWrap/>
            <w:vAlign w:val="bottom"/>
            <w:hideMark/>
          </w:tcPr>
          <w:p w14:paraId="38763F7E" w14:textId="3C25FEDF" w:rsidR="005C5C7C" w:rsidRPr="007F5D57" w:rsidRDefault="005C5C7C" w:rsidP="005455A9">
            <w:pPr>
              <w:rPr>
                <w:color w:val="000000"/>
                <w:sz w:val="20"/>
                <w:szCs w:val="20"/>
              </w:rPr>
            </w:pPr>
            <w:r w:rsidRPr="007F5D57">
              <w:rPr>
                <w:color w:val="000000"/>
                <w:sz w:val="20"/>
                <w:szCs w:val="20"/>
              </w:rPr>
              <w:t>DistanceToProject</w:t>
            </w:r>
          </w:p>
        </w:tc>
        <w:tc>
          <w:tcPr>
            <w:tcW w:w="432" w:type="pct"/>
            <w:tcBorders>
              <w:top w:val="nil"/>
              <w:left w:val="nil"/>
              <w:bottom w:val="nil"/>
              <w:right w:val="nil"/>
            </w:tcBorders>
            <w:shd w:val="clear" w:color="auto" w:fill="auto"/>
            <w:noWrap/>
            <w:vAlign w:val="bottom"/>
            <w:hideMark/>
          </w:tcPr>
          <w:p w14:paraId="2B6EA3DC" w14:textId="229F5129" w:rsidR="005C5C7C" w:rsidRPr="007F5D57" w:rsidRDefault="005C5C7C" w:rsidP="005455A9">
            <w:pPr>
              <w:rPr>
                <w:color w:val="000000"/>
                <w:sz w:val="20"/>
                <w:szCs w:val="20"/>
              </w:rPr>
            </w:pPr>
            <w:r w:rsidRPr="007F5D57">
              <w:rPr>
                <w:color w:val="000000"/>
                <w:sz w:val="20"/>
                <w:szCs w:val="20"/>
              </w:rPr>
              <w:t>Metres</w:t>
            </w:r>
          </w:p>
        </w:tc>
        <w:tc>
          <w:tcPr>
            <w:tcW w:w="511" w:type="pct"/>
            <w:tcBorders>
              <w:top w:val="nil"/>
              <w:left w:val="nil"/>
              <w:bottom w:val="nil"/>
              <w:right w:val="nil"/>
            </w:tcBorders>
            <w:shd w:val="clear" w:color="auto" w:fill="auto"/>
            <w:noWrap/>
            <w:vAlign w:val="bottom"/>
            <w:hideMark/>
          </w:tcPr>
          <w:p w14:paraId="4E90F5A7" w14:textId="7D5C7759" w:rsidR="005C5C7C" w:rsidRPr="007F5D57" w:rsidRDefault="005C5C7C" w:rsidP="005455A9">
            <w:pPr>
              <w:rPr>
                <w:color w:val="000000"/>
                <w:sz w:val="20"/>
                <w:szCs w:val="20"/>
              </w:rPr>
            </w:pPr>
            <w:r w:rsidRPr="007F5D57">
              <w:rPr>
                <w:color w:val="000000"/>
                <w:sz w:val="20"/>
                <w:szCs w:val="20"/>
              </w:rPr>
              <w:t>Continuous</w:t>
            </w:r>
          </w:p>
        </w:tc>
        <w:tc>
          <w:tcPr>
            <w:tcW w:w="329" w:type="pct"/>
            <w:tcBorders>
              <w:top w:val="nil"/>
              <w:left w:val="nil"/>
              <w:bottom w:val="nil"/>
              <w:right w:val="nil"/>
            </w:tcBorders>
            <w:shd w:val="clear" w:color="auto" w:fill="auto"/>
            <w:noWrap/>
            <w:vAlign w:val="bottom"/>
            <w:hideMark/>
          </w:tcPr>
          <w:p w14:paraId="2A2CF37E" w14:textId="565B4CFB" w:rsidR="005C5C7C" w:rsidRPr="007F5D57" w:rsidRDefault="005C5C7C" w:rsidP="005455A9">
            <w:pPr>
              <w:jc w:val="right"/>
              <w:rPr>
                <w:color w:val="000000"/>
                <w:sz w:val="20"/>
                <w:szCs w:val="20"/>
              </w:rPr>
            </w:pPr>
            <w:r w:rsidRPr="007F5D57">
              <w:rPr>
                <w:color w:val="000000"/>
                <w:sz w:val="20"/>
                <w:szCs w:val="20"/>
              </w:rPr>
              <w:t>616</w:t>
            </w:r>
          </w:p>
        </w:tc>
        <w:tc>
          <w:tcPr>
            <w:tcW w:w="501" w:type="pct"/>
            <w:tcBorders>
              <w:top w:val="nil"/>
              <w:left w:val="nil"/>
              <w:bottom w:val="nil"/>
              <w:right w:val="nil"/>
            </w:tcBorders>
            <w:shd w:val="clear" w:color="auto" w:fill="auto"/>
            <w:noWrap/>
            <w:vAlign w:val="bottom"/>
            <w:hideMark/>
          </w:tcPr>
          <w:p w14:paraId="1985EADD" w14:textId="01670E64" w:rsidR="005C5C7C" w:rsidRPr="007F5D57" w:rsidRDefault="005C5C7C" w:rsidP="005455A9">
            <w:pPr>
              <w:jc w:val="right"/>
              <w:rPr>
                <w:color w:val="000000"/>
                <w:sz w:val="20"/>
                <w:szCs w:val="20"/>
              </w:rPr>
            </w:pPr>
            <w:r>
              <w:rPr>
                <w:color w:val="000000"/>
                <w:sz w:val="20"/>
                <w:szCs w:val="20"/>
              </w:rPr>
              <w:t>676.4</w:t>
            </w:r>
          </w:p>
        </w:tc>
        <w:tc>
          <w:tcPr>
            <w:tcW w:w="354" w:type="pct"/>
            <w:tcBorders>
              <w:top w:val="nil"/>
              <w:left w:val="nil"/>
              <w:bottom w:val="nil"/>
              <w:right w:val="nil"/>
            </w:tcBorders>
            <w:shd w:val="clear" w:color="auto" w:fill="auto"/>
            <w:noWrap/>
            <w:vAlign w:val="bottom"/>
            <w:hideMark/>
          </w:tcPr>
          <w:p w14:paraId="46EC63CE" w14:textId="6307C2B0" w:rsidR="005C5C7C" w:rsidRPr="007F5D57" w:rsidRDefault="005C5C7C" w:rsidP="005455A9">
            <w:pPr>
              <w:rPr>
                <w:sz w:val="20"/>
                <w:szCs w:val="20"/>
              </w:rPr>
            </w:pPr>
            <w:r w:rsidRPr="007F5D57">
              <w:rPr>
                <w:color w:val="000000"/>
                <w:sz w:val="20"/>
                <w:szCs w:val="20"/>
              </w:rPr>
              <w:t>106.</w:t>
            </w:r>
            <w:r>
              <w:rPr>
                <w:color w:val="000000"/>
                <w:sz w:val="20"/>
                <w:szCs w:val="20"/>
              </w:rPr>
              <w:t>7</w:t>
            </w:r>
          </w:p>
        </w:tc>
        <w:tc>
          <w:tcPr>
            <w:tcW w:w="460" w:type="pct"/>
            <w:tcBorders>
              <w:top w:val="nil"/>
              <w:left w:val="nil"/>
              <w:bottom w:val="nil"/>
              <w:right w:val="nil"/>
            </w:tcBorders>
            <w:shd w:val="clear" w:color="auto" w:fill="auto"/>
            <w:noWrap/>
            <w:vAlign w:val="bottom"/>
            <w:hideMark/>
          </w:tcPr>
          <w:p w14:paraId="75BDA063" w14:textId="45DE2DD6" w:rsidR="005C5C7C" w:rsidRPr="007F5D57" w:rsidRDefault="005C5C7C" w:rsidP="005455A9">
            <w:pPr>
              <w:rPr>
                <w:sz w:val="20"/>
                <w:szCs w:val="20"/>
              </w:rPr>
            </w:pPr>
            <w:r w:rsidRPr="007F5D57">
              <w:rPr>
                <w:color w:val="000000"/>
                <w:sz w:val="20"/>
                <w:szCs w:val="20"/>
              </w:rPr>
              <w:t>469</w:t>
            </w:r>
            <w:r>
              <w:rPr>
                <w:color w:val="000000"/>
                <w:sz w:val="20"/>
                <w:szCs w:val="20"/>
              </w:rPr>
              <w:t>.9</w:t>
            </w:r>
          </w:p>
        </w:tc>
        <w:tc>
          <w:tcPr>
            <w:tcW w:w="460" w:type="pct"/>
            <w:tcBorders>
              <w:top w:val="nil"/>
              <w:left w:val="nil"/>
              <w:bottom w:val="nil"/>
              <w:right w:val="nil"/>
            </w:tcBorders>
            <w:shd w:val="clear" w:color="auto" w:fill="auto"/>
            <w:noWrap/>
            <w:vAlign w:val="bottom"/>
            <w:hideMark/>
          </w:tcPr>
          <w:p w14:paraId="06BEEBE8" w14:textId="5C45725D" w:rsidR="005C5C7C" w:rsidRPr="007F5D57" w:rsidRDefault="005C5C7C" w:rsidP="005455A9">
            <w:pPr>
              <w:rPr>
                <w:sz w:val="20"/>
                <w:szCs w:val="20"/>
              </w:rPr>
            </w:pPr>
            <w:r w:rsidRPr="007F5D57">
              <w:rPr>
                <w:color w:val="000000"/>
                <w:sz w:val="20"/>
                <w:szCs w:val="20"/>
              </w:rPr>
              <w:t>69</w:t>
            </w:r>
            <w:r>
              <w:rPr>
                <w:color w:val="000000"/>
                <w:sz w:val="20"/>
                <w:szCs w:val="20"/>
              </w:rPr>
              <w:t>7.2</w:t>
            </w:r>
          </w:p>
        </w:tc>
        <w:tc>
          <w:tcPr>
            <w:tcW w:w="501" w:type="pct"/>
            <w:tcBorders>
              <w:top w:val="nil"/>
              <w:left w:val="nil"/>
              <w:bottom w:val="nil"/>
              <w:right w:val="nil"/>
            </w:tcBorders>
            <w:shd w:val="clear" w:color="auto" w:fill="auto"/>
            <w:noWrap/>
            <w:vAlign w:val="bottom"/>
            <w:hideMark/>
          </w:tcPr>
          <w:p w14:paraId="656CD302" w14:textId="10A7CBCD" w:rsidR="005C5C7C" w:rsidRPr="007F5D57" w:rsidRDefault="005C5C7C" w:rsidP="005455A9">
            <w:pPr>
              <w:rPr>
                <w:sz w:val="20"/>
                <w:szCs w:val="20"/>
              </w:rPr>
            </w:pPr>
            <w:r w:rsidRPr="007F5D57">
              <w:rPr>
                <w:color w:val="000000"/>
                <w:sz w:val="20"/>
                <w:szCs w:val="20"/>
              </w:rPr>
              <w:t>91</w:t>
            </w:r>
            <w:r>
              <w:rPr>
                <w:color w:val="000000"/>
                <w:sz w:val="20"/>
                <w:szCs w:val="20"/>
              </w:rPr>
              <w:t>1.5</w:t>
            </w:r>
          </w:p>
        </w:tc>
        <w:tc>
          <w:tcPr>
            <w:tcW w:w="543" w:type="pct"/>
            <w:tcBorders>
              <w:top w:val="nil"/>
              <w:left w:val="nil"/>
              <w:bottom w:val="nil"/>
              <w:right w:val="nil"/>
            </w:tcBorders>
            <w:shd w:val="clear" w:color="auto" w:fill="auto"/>
            <w:noWrap/>
            <w:vAlign w:val="bottom"/>
            <w:hideMark/>
          </w:tcPr>
          <w:p w14:paraId="1AE7E89E" w14:textId="338087AB" w:rsidR="005C5C7C" w:rsidRPr="007F5D57" w:rsidRDefault="005C5C7C" w:rsidP="005455A9">
            <w:pPr>
              <w:rPr>
                <w:sz w:val="20"/>
                <w:szCs w:val="20"/>
              </w:rPr>
            </w:pPr>
            <w:r w:rsidRPr="007F5D57">
              <w:rPr>
                <w:color w:val="000000"/>
                <w:sz w:val="20"/>
                <w:szCs w:val="20"/>
              </w:rPr>
              <w:t>109</w:t>
            </w:r>
            <w:r>
              <w:rPr>
                <w:color w:val="000000"/>
                <w:sz w:val="20"/>
                <w:szCs w:val="20"/>
              </w:rPr>
              <w:t>7.1</w:t>
            </w:r>
          </w:p>
        </w:tc>
      </w:tr>
      <w:tr w:rsidR="005C5C7C" w:rsidRPr="006670B2" w14:paraId="0A7A23F9" w14:textId="77777777" w:rsidTr="007F5D57">
        <w:trPr>
          <w:trHeight w:val="320"/>
        </w:trPr>
        <w:tc>
          <w:tcPr>
            <w:tcW w:w="910" w:type="pct"/>
            <w:tcBorders>
              <w:top w:val="nil"/>
              <w:left w:val="nil"/>
              <w:bottom w:val="nil"/>
              <w:right w:val="nil"/>
            </w:tcBorders>
            <w:shd w:val="clear" w:color="auto" w:fill="auto"/>
            <w:noWrap/>
            <w:vAlign w:val="bottom"/>
            <w:hideMark/>
          </w:tcPr>
          <w:p w14:paraId="4E135340" w14:textId="38837132" w:rsidR="005C5C7C" w:rsidRPr="007F5D57" w:rsidRDefault="005C5C7C" w:rsidP="005455A9">
            <w:pPr>
              <w:rPr>
                <w:color w:val="000000"/>
                <w:sz w:val="20"/>
                <w:szCs w:val="20"/>
              </w:rPr>
            </w:pPr>
            <w:r w:rsidRPr="007F5D57">
              <w:rPr>
                <w:color w:val="000000"/>
                <w:sz w:val="20"/>
                <w:szCs w:val="20"/>
              </w:rPr>
              <w:t>ConcentricRings</w:t>
            </w:r>
          </w:p>
        </w:tc>
        <w:tc>
          <w:tcPr>
            <w:tcW w:w="432" w:type="pct"/>
            <w:tcBorders>
              <w:top w:val="nil"/>
              <w:left w:val="nil"/>
              <w:bottom w:val="nil"/>
              <w:right w:val="nil"/>
            </w:tcBorders>
            <w:shd w:val="clear" w:color="auto" w:fill="auto"/>
            <w:noWrap/>
            <w:vAlign w:val="bottom"/>
            <w:hideMark/>
          </w:tcPr>
          <w:p w14:paraId="566DA0A1" w14:textId="30861900" w:rsidR="005C5C7C" w:rsidRPr="007F5D57" w:rsidRDefault="005C5C7C" w:rsidP="005455A9">
            <w:pPr>
              <w:rPr>
                <w:color w:val="000000"/>
                <w:sz w:val="20"/>
                <w:szCs w:val="20"/>
              </w:rPr>
            </w:pPr>
            <w:r w:rsidRPr="007F5D57">
              <w:rPr>
                <w:color w:val="000000"/>
                <w:sz w:val="20"/>
                <w:szCs w:val="20"/>
              </w:rPr>
              <w:t>Category</w:t>
            </w:r>
          </w:p>
        </w:tc>
        <w:tc>
          <w:tcPr>
            <w:tcW w:w="511" w:type="pct"/>
            <w:tcBorders>
              <w:top w:val="nil"/>
              <w:left w:val="nil"/>
              <w:bottom w:val="nil"/>
              <w:right w:val="nil"/>
            </w:tcBorders>
            <w:shd w:val="clear" w:color="auto" w:fill="auto"/>
            <w:noWrap/>
            <w:vAlign w:val="bottom"/>
            <w:hideMark/>
          </w:tcPr>
          <w:p w14:paraId="46B82D49" w14:textId="15E3D5C4" w:rsidR="005C5C7C" w:rsidRPr="007F5D57" w:rsidRDefault="005C5C7C" w:rsidP="005455A9">
            <w:pPr>
              <w:rPr>
                <w:color w:val="000000"/>
                <w:sz w:val="20"/>
                <w:szCs w:val="20"/>
              </w:rPr>
            </w:pPr>
            <w:r w:rsidRPr="007F5D57">
              <w:rPr>
                <w:color w:val="000000"/>
                <w:sz w:val="20"/>
                <w:szCs w:val="20"/>
              </w:rPr>
              <w:t>Categorical</w:t>
            </w:r>
          </w:p>
        </w:tc>
        <w:tc>
          <w:tcPr>
            <w:tcW w:w="329" w:type="pct"/>
            <w:tcBorders>
              <w:top w:val="nil"/>
              <w:left w:val="nil"/>
              <w:bottom w:val="nil"/>
              <w:right w:val="nil"/>
            </w:tcBorders>
            <w:shd w:val="clear" w:color="auto" w:fill="auto"/>
            <w:noWrap/>
            <w:vAlign w:val="bottom"/>
            <w:hideMark/>
          </w:tcPr>
          <w:p w14:paraId="22AE1978" w14:textId="608C7D45" w:rsidR="005C5C7C" w:rsidRPr="007F5D57" w:rsidRDefault="005C5C7C" w:rsidP="005455A9">
            <w:pPr>
              <w:jc w:val="right"/>
              <w:rPr>
                <w:color w:val="000000"/>
                <w:sz w:val="20"/>
                <w:szCs w:val="20"/>
              </w:rPr>
            </w:pPr>
          </w:p>
        </w:tc>
        <w:tc>
          <w:tcPr>
            <w:tcW w:w="501" w:type="pct"/>
            <w:tcBorders>
              <w:top w:val="nil"/>
              <w:left w:val="nil"/>
              <w:bottom w:val="nil"/>
              <w:right w:val="nil"/>
            </w:tcBorders>
            <w:shd w:val="clear" w:color="auto" w:fill="auto"/>
            <w:noWrap/>
            <w:vAlign w:val="bottom"/>
            <w:hideMark/>
          </w:tcPr>
          <w:p w14:paraId="0C13E32B" w14:textId="08AE9B55" w:rsidR="005C5C7C" w:rsidRPr="007F5D57" w:rsidRDefault="005C5C7C" w:rsidP="005455A9">
            <w:pPr>
              <w:jc w:val="right"/>
              <w:rPr>
                <w:color w:val="000000"/>
                <w:sz w:val="20"/>
                <w:szCs w:val="20"/>
              </w:rPr>
            </w:pPr>
          </w:p>
        </w:tc>
        <w:tc>
          <w:tcPr>
            <w:tcW w:w="354" w:type="pct"/>
            <w:tcBorders>
              <w:top w:val="nil"/>
              <w:left w:val="nil"/>
              <w:bottom w:val="nil"/>
              <w:right w:val="nil"/>
            </w:tcBorders>
            <w:shd w:val="clear" w:color="auto" w:fill="auto"/>
            <w:noWrap/>
            <w:vAlign w:val="bottom"/>
            <w:hideMark/>
          </w:tcPr>
          <w:p w14:paraId="50AE71A2" w14:textId="19DD87F5" w:rsidR="005C5C7C" w:rsidRPr="007F5D57" w:rsidRDefault="005C5C7C" w:rsidP="005455A9">
            <w:pPr>
              <w:jc w:val="right"/>
              <w:rPr>
                <w:color w:val="000000"/>
                <w:sz w:val="20"/>
                <w:szCs w:val="20"/>
              </w:rPr>
            </w:pPr>
          </w:p>
        </w:tc>
        <w:tc>
          <w:tcPr>
            <w:tcW w:w="460" w:type="pct"/>
            <w:tcBorders>
              <w:top w:val="nil"/>
              <w:left w:val="nil"/>
              <w:bottom w:val="nil"/>
              <w:right w:val="nil"/>
            </w:tcBorders>
            <w:shd w:val="clear" w:color="auto" w:fill="auto"/>
            <w:noWrap/>
            <w:vAlign w:val="bottom"/>
            <w:hideMark/>
          </w:tcPr>
          <w:p w14:paraId="4F4A2419" w14:textId="62B570FB" w:rsidR="005C5C7C" w:rsidRPr="007F5D57" w:rsidRDefault="005C5C7C" w:rsidP="005455A9">
            <w:pPr>
              <w:jc w:val="right"/>
              <w:rPr>
                <w:color w:val="000000"/>
                <w:sz w:val="20"/>
                <w:szCs w:val="20"/>
              </w:rPr>
            </w:pPr>
          </w:p>
        </w:tc>
        <w:tc>
          <w:tcPr>
            <w:tcW w:w="460" w:type="pct"/>
            <w:tcBorders>
              <w:top w:val="nil"/>
              <w:left w:val="nil"/>
              <w:bottom w:val="nil"/>
              <w:right w:val="nil"/>
            </w:tcBorders>
            <w:shd w:val="clear" w:color="auto" w:fill="auto"/>
            <w:noWrap/>
            <w:vAlign w:val="bottom"/>
            <w:hideMark/>
          </w:tcPr>
          <w:p w14:paraId="6A57C186" w14:textId="65BC491D" w:rsidR="005C5C7C" w:rsidRPr="007F5D57" w:rsidRDefault="005C5C7C" w:rsidP="005455A9">
            <w:pPr>
              <w:jc w:val="right"/>
              <w:rPr>
                <w:color w:val="000000"/>
                <w:sz w:val="20"/>
                <w:szCs w:val="20"/>
              </w:rPr>
            </w:pPr>
          </w:p>
        </w:tc>
        <w:tc>
          <w:tcPr>
            <w:tcW w:w="501" w:type="pct"/>
            <w:tcBorders>
              <w:top w:val="nil"/>
              <w:left w:val="nil"/>
              <w:bottom w:val="nil"/>
              <w:right w:val="nil"/>
            </w:tcBorders>
            <w:shd w:val="clear" w:color="auto" w:fill="auto"/>
            <w:noWrap/>
            <w:vAlign w:val="bottom"/>
            <w:hideMark/>
          </w:tcPr>
          <w:p w14:paraId="43A827D7" w14:textId="034DC803" w:rsidR="005C5C7C" w:rsidRPr="007F5D57" w:rsidRDefault="005C5C7C" w:rsidP="005455A9">
            <w:pPr>
              <w:jc w:val="right"/>
              <w:rPr>
                <w:color w:val="000000"/>
                <w:sz w:val="20"/>
                <w:szCs w:val="20"/>
              </w:rPr>
            </w:pPr>
          </w:p>
        </w:tc>
        <w:tc>
          <w:tcPr>
            <w:tcW w:w="543" w:type="pct"/>
            <w:tcBorders>
              <w:top w:val="nil"/>
              <w:left w:val="nil"/>
              <w:bottom w:val="nil"/>
              <w:right w:val="nil"/>
            </w:tcBorders>
            <w:shd w:val="clear" w:color="auto" w:fill="auto"/>
            <w:noWrap/>
            <w:vAlign w:val="bottom"/>
            <w:hideMark/>
          </w:tcPr>
          <w:p w14:paraId="250D4E1B" w14:textId="59FED2D6" w:rsidR="005C5C7C" w:rsidRPr="007F5D57" w:rsidRDefault="005C5C7C" w:rsidP="005455A9">
            <w:pPr>
              <w:jc w:val="right"/>
              <w:rPr>
                <w:color w:val="000000"/>
                <w:sz w:val="20"/>
                <w:szCs w:val="20"/>
              </w:rPr>
            </w:pPr>
          </w:p>
        </w:tc>
      </w:tr>
      <w:tr w:rsidR="005C5C7C" w:rsidRPr="006670B2" w14:paraId="3A3A9B08" w14:textId="77777777" w:rsidTr="007F5D57">
        <w:trPr>
          <w:trHeight w:val="320"/>
        </w:trPr>
        <w:tc>
          <w:tcPr>
            <w:tcW w:w="910" w:type="pct"/>
            <w:tcBorders>
              <w:top w:val="nil"/>
              <w:left w:val="nil"/>
              <w:bottom w:val="nil"/>
              <w:right w:val="nil"/>
            </w:tcBorders>
            <w:shd w:val="clear" w:color="auto" w:fill="auto"/>
            <w:noWrap/>
            <w:vAlign w:val="bottom"/>
          </w:tcPr>
          <w:p w14:paraId="0AC2C9D9" w14:textId="53E0CC9A" w:rsidR="005C5C7C" w:rsidRPr="007F5D57" w:rsidRDefault="005C5C7C" w:rsidP="005455A9">
            <w:pPr>
              <w:rPr>
                <w:color w:val="000000"/>
                <w:sz w:val="20"/>
                <w:szCs w:val="20"/>
              </w:rPr>
            </w:pPr>
          </w:p>
        </w:tc>
        <w:tc>
          <w:tcPr>
            <w:tcW w:w="432" w:type="pct"/>
            <w:tcBorders>
              <w:top w:val="nil"/>
              <w:left w:val="nil"/>
              <w:bottom w:val="nil"/>
              <w:right w:val="nil"/>
            </w:tcBorders>
            <w:shd w:val="clear" w:color="auto" w:fill="auto"/>
            <w:noWrap/>
            <w:vAlign w:val="bottom"/>
          </w:tcPr>
          <w:p w14:paraId="6DC63AC2" w14:textId="79D74E39" w:rsidR="005C5C7C" w:rsidRPr="007F5D57" w:rsidRDefault="005C5C7C" w:rsidP="005455A9">
            <w:pPr>
              <w:rPr>
                <w:color w:val="000000"/>
                <w:sz w:val="20"/>
                <w:szCs w:val="20"/>
              </w:rPr>
            </w:pPr>
          </w:p>
        </w:tc>
        <w:tc>
          <w:tcPr>
            <w:tcW w:w="511" w:type="pct"/>
            <w:tcBorders>
              <w:top w:val="nil"/>
              <w:left w:val="nil"/>
              <w:bottom w:val="nil"/>
              <w:right w:val="nil"/>
            </w:tcBorders>
            <w:shd w:val="clear" w:color="auto" w:fill="auto"/>
            <w:noWrap/>
            <w:vAlign w:val="bottom"/>
          </w:tcPr>
          <w:p w14:paraId="68C915C4" w14:textId="21B36285" w:rsidR="005C5C7C" w:rsidRPr="007F5D57" w:rsidRDefault="005C5C7C" w:rsidP="005455A9">
            <w:pPr>
              <w:rPr>
                <w:color w:val="000000"/>
                <w:sz w:val="20"/>
                <w:szCs w:val="20"/>
              </w:rPr>
            </w:pPr>
          </w:p>
        </w:tc>
        <w:tc>
          <w:tcPr>
            <w:tcW w:w="329" w:type="pct"/>
            <w:tcBorders>
              <w:top w:val="nil"/>
              <w:left w:val="nil"/>
              <w:bottom w:val="nil"/>
              <w:right w:val="nil"/>
            </w:tcBorders>
            <w:shd w:val="clear" w:color="auto" w:fill="auto"/>
            <w:noWrap/>
            <w:vAlign w:val="bottom"/>
          </w:tcPr>
          <w:p w14:paraId="0554F29F" w14:textId="77777777" w:rsidR="005C5C7C" w:rsidRPr="007F5D57" w:rsidRDefault="005C5C7C" w:rsidP="005455A9">
            <w:pPr>
              <w:rPr>
                <w:color w:val="000000"/>
                <w:sz w:val="20"/>
                <w:szCs w:val="20"/>
              </w:rPr>
            </w:pPr>
          </w:p>
        </w:tc>
        <w:tc>
          <w:tcPr>
            <w:tcW w:w="501" w:type="pct"/>
            <w:tcBorders>
              <w:top w:val="nil"/>
              <w:left w:val="nil"/>
              <w:bottom w:val="nil"/>
              <w:right w:val="nil"/>
            </w:tcBorders>
            <w:shd w:val="clear" w:color="auto" w:fill="auto"/>
            <w:noWrap/>
            <w:vAlign w:val="bottom"/>
          </w:tcPr>
          <w:p w14:paraId="26EC7F40" w14:textId="77777777" w:rsidR="005C5C7C" w:rsidRPr="007F5D57" w:rsidRDefault="005C5C7C" w:rsidP="005455A9">
            <w:pPr>
              <w:rPr>
                <w:sz w:val="20"/>
                <w:szCs w:val="20"/>
              </w:rPr>
            </w:pPr>
          </w:p>
        </w:tc>
        <w:tc>
          <w:tcPr>
            <w:tcW w:w="354" w:type="pct"/>
            <w:tcBorders>
              <w:top w:val="nil"/>
              <w:left w:val="nil"/>
              <w:bottom w:val="nil"/>
              <w:right w:val="nil"/>
            </w:tcBorders>
            <w:shd w:val="clear" w:color="auto" w:fill="auto"/>
            <w:noWrap/>
            <w:vAlign w:val="bottom"/>
          </w:tcPr>
          <w:p w14:paraId="3005D853" w14:textId="77777777" w:rsidR="005C5C7C" w:rsidRPr="007F5D57" w:rsidRDefault="005C5C7C" w:rsidP="005455A9">
            <w:pPr>
              <w:rPr>
                <w:sz w:val="20"/>
                <w:szCs w:val="20"/>
              </w:rPr>
            </w:pPr>
          </w:p>
        </w:tc>
        <w:tc>
          <w:tcPr>
            <w:tcW w:w="460" w:type="pct"/>
            <w:tcBorders>
              <w:top w:val="nil"/>
              <w:left w:val="nil"/>
              <w:bottom w:val="nil"/>
              <w:right w:val="nil"/>
            </w:tcBorders>
            <w:shd w:val="clear" w:color="auto" w:fill="auto"/>
            <w:noWrap/>
            <w:vAlign w:val="bottom"/>
          </w:tcPr>
          <w:p w14:paraId="6B48AFB5" w14:textId="77777777" w:rsidR="005C5C7C" w:rsidRPr="007F5D57" w:rsidRDefault="005C5C7C" w:rsidP="005455A9">
            <w:pPr>
              <w:rPr>
                <w:sz w:val="20"/>
                <w:szCs w:val="20"/>
              </w:rPr>
            </w:pPr>
          </w:p>
        </w:tc>
        <w:tc>
          <w:tcPr>
            <w:tcW w:w="460" w:type="pct"/>
            <w:tcBorders>
              <w:top w:val="nil"/>
              <w:left w:val="nil"/>
              <w:bottom w:val="nil"/>
              <w:right w:val="nil"/>
            </w:tcBorders>
            <w:shd w:val="clear" w:color="auto" w:fill="auto"/>
            <w:noWrap/>
            <w:vAlign w:val="bottom"/>
          </w:tcPr>
          <w:p w14:paraId="5E899E80" w14:textId="77777777" w:rsidR="005C5C7C" w:rsidRPr="007F5D57" w:rsidRDefault="005C5C7C" w:rsidP="005455A9">
            <w:pPr>
              <w:rPr>
                <w:sz w:val="20"/>
                <w:szCs w:val="20"/>
              </w:rPr>
            </w:pPr>
          </w:p>
        </w:tc>
        <w:tc>
          <w:tcPr>
            <w:tcW w:w="501" w:type="pct"/>
            <w:tcBorders>
              <w:top w:val="nil"/>
              <w:left w:val="nil"/>
              <w:bottom w:val="nil"/>
              <w:right w:val="nil"/>
            </w:tcBorders>
            <w:shd w:val="clear" w:color="auto" w:fill="auto"/>
            <w:noWrap/>
            <w:vAlign w:val="bottom"/>
          </w:tcPr>
          <w:p w14:paraId="609275FB" w14:textId="77777777" w:rsidR="005C5C7C" w:rsidRPr="007F5D57" w:rsidRDefault="005C5C7C" w:rsidP="005455A9">
            <w:pPr>
              <w:rPr>
                <w:sz w:val="20"/>
                <w:szCs w:val="20"/>
              </w:rPr>
            </w:pPr>
          </w:p>
        </w:tc>
        <w:tc>
          <w:tcPr>
            <w:tcW w:w="543" w:type="pct"/>
            <w:tcBorders>
              <w:top w:val="nil"/>
              <w:left w:val="nil"/>
              <w:bottom w:val="nil"/>
              <w:right w:val="nil"/>
            </w:tcBorders>
            <w:shd w:val="clear" w:color="auto" w:fill="auto"/>
            <w:noWrap/>
            <w:vAlign w:val="bottom"/>
          </w:tcPr>
          <w:p w14:paraId="6DC50415" w14:textId="77777777" w:rsidR="005C5C7C" w:rsidRPr="007F5D57" w:rsidRDefault="005C5C7C" w:rsidP="005455A9">
            <w:pPr>
              <w:rPr>
                <w:sz w:val="20"/>
                <w:szCs w:val="20"/>
              </w:rPr>
            </w:pPr>
          </w:p>
        </w:tc>
      </w:tr>
    </w:tbl>
    <w:p w14:paraId="32178AA8" w14:textId="77777777" w:rsidR="00477E6B" w:rsidRDefault="00477E6B" w:rsidP="00477E6B">
      <w:pPr>
        <w:pStyle w:val="Heading1"/>
        <w:jc w:val="both"/>
      </w:pPr>
      <w:r>
        <w:t>Methodology</w:t>
      </w:r>
    </w:p>
    <w:p w14:paraId="14FB0CA1" w14:textId="5A9DAC32" w:rsidR="00477E6B" w:rsidRPr="00CD3F5A" w:rsidRDefault="00211575" w:rsidP="007F5D57">
      <w:pPr>
        <w:pStyle w:val="NormalWeb"/>
        <w:jc w:val="both"/>
        <w:rPr>
          <w:sz w:val="22"/>
          <w:szCs w:val="22"/>
        </w:rPr>
      </w:pPr>
      <w:r w:rsidRPr="007F5D57">
        <w:rPr>
          <w:rStyle w:val="c-pjlv"/>
          <w:sz w:val="22"/>
          <w:szCs w:val="22"/>
        </w:rPr>
        <w:t xml:space="preserve">This study </w:t>
      </w:r>
      <w:r w:rsidRPr="007F5D57">
        <w:rPr>
          <w:rStyle w:val="c-pjlv"/>
          <w:color w:val="000000"/>
          <w:sz w:val="22"/>
          <w:szCs w:val="22"/>
        </w:rPr>
        <w:t>used</w:t>
      </w:r>
      <w:r w:rsidRPr="007F5D57">
        <w:rPr>
          <w:rStyle w:val="c-pjlv"/>
          <w:sz w:val="22"/>
          <w:szCs w:val="22"/>
        </w:rPr>
        <w:t xml:space="preserve"> hedonic pricing models (HPM) to test our hypotheses.</w:t>
      </w:r>
      <w:r w:rsidR="00477E6B" w:rsidRPr="007F5D57">
        <w:rPr>
          <w:rStyle w:val="c-pjlv"/>
          <w:sz w:val="22"/>
          <w:szCs w:val="22"/>
        </w:rPr>
        <w:t xml:space="preserve"> </w:t>
      </w:r>
      <w:r w:rsidR="00477E6B" w:rsidRPr="00CD3F5A">
        <w:rPr>
          <w:rStyle w:val="c-pjlv"/>
          <w:sz w:val="22"/>
          <w:szCs w:val="22"/>
        </w:rPr>
        <w:t xml:space="preserve">The hedonic approach </w:t>
      </w:r>
      <w:r w:rsidR="00477E6B" w:rsidRPr="00CD3F5A">
        <w:rPr>
          <w:rStyle w:val="c-pjlv"/>
          <w:color w:val="000000"/>
          <w:sz w:val="22"/>
          <w:szCs w:val="22"/>
        </w:rPr>
        <w:t>recognises</w:t>
      </w:r>
      <w:r w:rsidR="00477E6B" w:rsidRPr="00CD3F5A">
        <w:rPr>
          <w:rStyle w:val="c-pjlv"/>
          <w:sz w:val="22"/>
          <w:szCs w:val="22"/>
        </w:rPr>
        <w:t xml:space="preserve"> that property values are determined </w:t>
      </w:r>
      <w:r w:rsidR="00477E6B" w:rsidRPr="00CD3F5A">
        <w:rPr>
          <w:rStyle w:val="c-pjlv"/>
          <w:color w:val="000000"/>
          <w:sz w:val="22"/>
          <w:szCs w:val="22"/>
        </w:rPr>
        <w:t>by the</w:t>
      </w:r>
      <w:r w:rsidR="00477E6B" w:rsidRPr="00CD3F5A">
        <w:rPr>
          <w:rStyle w:val="c-pjlv"/>
          <w:sz w:val="22"/>
          <w:szCs w:val="22"/>
        </w:rPr>
        <w:t xml:space="preserve"> inherent characteristics of the </w:t>
      </w:r>
      <w:r w:rsidR="00477E6B" w:rsidRPr="00CD3F5A">
        <w:rPr>
          <w:rStyle w:val="c-pjlv"/>
          <w:color w:val="000000"/>
          <w:sz w:val="22"/>
          <w:szCs w:val="22"/>
        </w:rPr>
        <w:t>land</w:t>
      </w:r>
      <w:r w:rsidR="00477E6B" w:rsidRPr="00CD3F5A">
        <w:rPr>
          <w:rStyle w:val="c-pjlv"/>
          <w:sz w:val="22"/>
          <w:szCs w:val="22"/>
        </w:rPr>
        <w:t xml:space="preserve"> as well as other external factors.</w:t>
      </w:r>
      <w:r w:rsidR="007B03ED">
        <w:rPr>
          <w:rStyle w:val="c-pjlv"/>
          <w:sz w:val="22"/>
          <w:szCs w:val="22"/>
        </w:rPr>
        <w:t xml:space="preserve"> </w:t>
      </w:r>
      <w:r w:rsidR="007B03ED" w:rsidRPr="006D11FE">
        <w:rPr>
          <w:rStyle w:val="c-pjlv"/>
          <w:color w:val="000000" w:themeColor="text1"/>
          <w:sz w:val="22"/>
          <w:szCs w:val="22"/>
        </w:rPr>
        <w:t xml:space="preserve">Hedonic models can incorporate time dummy variables to isolate the temporal effect of new infrastructure or construction over time </w:t>
      </w:r>
      <w:sdt>
        <w:sdtPr>
          <w:rPr>
            <w:rStyle w:val="c-pjlv"/>
            <w:color w:val="000000"/>
            <w:sz w:val="22"/>
            <w:szCs w:val="22"/>
          </w:rPr>
          <w:tag w:val="MENDELEY_CITATION_v3_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"/>
          <w:id w:val="-766074048"/>
          <w:placeholder>
            <w:docPart w:val="DefaultPlaceholder_-1854013440"/>
          </w:placeholder>
        </w:sdtPr>
        <w:sdtContent>
          <w:r w:rsidR="00607F6A" w:rsidRPr="00607F6A">
            <w:rPr>
              <w:rStyle w:val="c-pjlv"/>
              <w:color w:val="000000"/>
              <w:sz w:val="22"/>
              <w:szCs w:val="22"/>
            </w:rPr>
            <w:t>(Agostini and Palmucci, 2008)</w:t>
          </w:r>
        </w:sdtContent>
      </w:sdt>
      <w:r w:rsidR="007B03ED" w:rsidRPr="006D11FE">
        <w:rPr>
          <w:rStyle w:val="c-pjlv"/>
          <w:color w:val="FF0000"/>
          <w:sz w:val="22"/>
          <w:szCs w:val="22"/>
        </w:rPr>
        <w:t xml:space="preserve"> </w:t>
      </w:r>
      <w:r w:rsidR="007B03ED" w:rsidRPr="006D11FE">
        <w:rPr>
          <w:rStyle w:val="c-pjlv"/>
          <w:color w:val="000000" w:themeColor="text1"/>
          <w:sz w:val="22"/>
          <w:szCs w:val="22"/>
        </w:rPr>
        <w:t>However, due to limited data acessability on the longitudinal nature, this could not be accounted for in the scope of this study.</w:t>
      </w:r>
      <w:r w:rsidR="007B03ED">
        <w:rPr>
          <w:rStyle w:val="c-pjlv"/>
          <w:sz w:val="22"/>
          <w:szCs w:val="22"/>
        </w:rPr>
        <w:t xml:space="preserve"> </w:t>
      </w:r>
      <w:r w:rsidRPr="007F5D57">
        <w:rPr>
          <w:rStyle w:val="c-pjlv"/>
          <w:sz w:val="22"/>
          <w:szCs w:val="22"/>
        </w:rPr>
        <w:t>By measuring statistically significant changes in the coefficients of the spatial variables, we extract the intangible value transfer to the property market.</w:t>
      </w:r>
      <w:r w:rsidR="00477E6B" w:rsidRPr="00CD3F5A">
        <w:rPr>
          <w:rStyle w:val="c-pjlv"/>
          <w:sz w:val="22"/>
          <w:szCs w:val="22"/>
        </w:rPr>
        <w:t xml:space="preserve"> </w:t>
      </w:r>
      <w:r w:rsidRPr="007F5D57">
        <w:rPr>
          <w:rStyle w:val="c-pjlv"/>
          <w:sz w:val="22"/>
          <w:szCs w:val="22"/>
        </w:rPr>
        <w:t xml:space="preserve">In this study, </w:t>
      </w:r>
      <w:r w:rsidRPr="007F5D57">
        <w:rPr>
          <w:rStyle w:val="c-pjlv"/>
          <w:color w:val="000000"/>
          <w:sz w:val="22"/>
          <w:szCs w:val="22"/>
        </w:rPr>
        <w:t>the empirical</w:t>
      </w:r>
      <w:r w:rsidRPr="007F5D57">
        <w:rPr>
          <w:rStyle w:val="c-pjlv"/>
          <w:sz w:val="22"/>
          <w:szCs w:val="22"/>
        </w:rPr>
        <w:t xml:space="preserve"> HPM takes the following form.</w:t>
      </w:r>
    </w:p>
    <w:p w14:paraId="7E202E9D" w14:textId="31792AFD" w:rsidR="00477E6B" w:rsidRPr="0058057D" w:rsidRDefault="00477E6B" w:rsidP="007F5D57">
      <w:pPr>
        <w:pStyle w:val="NormalWeb"/>
        <w:jc w:val="both"/>
        <w:rPr>
          <w:sz w:val="22"/>
          <w:szCs w:val="22"/>
        </w:rPr>
      </w:pPr>
      <w:r>
        <w:rPr>
          <w:rStyle w:val="c-pjlv"/>
          <w:sz w:val="22"/>
          <w:szCs w:val="22"/>
        </w:rPr>
        <w:t>Ln(</w:t>
      </w:r>
      <w:r w:rsidRPr="0058057D">
        <w:rPr>
          <w:rStyle w:val="c-pjlv"/>
          <w:sz w:val="22"/>
          <w:szCs w:val="22"/>
        </w:rPr>
        <w:t>Land Value</w:t>
      </w:r>
      <w:r>
        <w:rPr>
          <w:rStyle w:val="c-pjlv"/>
          <w:sz w:val="22"/>
          <w:szCs w:val="22"/>
        </w:rPr>
        <w:t>)</w:t>
      </w:r>
      <w:r w:rsidRPr="0058057D">
        <w:rPr>
          <w:rStyle w:val="c-pjlv"/>
          <w:sz w:val="22"/>
          <w:szCs w:val="22"/>
        </w:rPr>
        <w:t xml:space="preserve">= </w:t>
      </w:r>
      <w:r w:rsidRPr="007F5D57">
        <w:rPr>
          <w:rStyle w:val="c-pjlv"/>
          <w:i/>
          <w:iCs/>
          <w:sz w:val="22"/>
          <w:szCs w:val="22"/>
        </w:rPr>
        <w:t>β</w:t>
      </w:r>
      <w:r w:rsidRPr="007F5D57">
        <w:rPr>
          <w:rStyle w:val="c-pjlv"/>
          <w:i/>
          <w:iCs/>
          <w:sz w:val="22"/>
          <w:szCs w:val="22"/>
          <w:vertAlign w:val="subscript"/>
        </w:rPr>
        <w:t>0</w:t>
      </w:r>
      <w:r w:rsidRPr="0058057D">
        <w:rPr>
          <w:rStyle w:val="c-pjlv"/>
          <w:sz w:val="22"/>
          <w:szCs w:val="22"/>
        </w:rPr>
        <w:t xml:space="preserve"> + </w:t>
      </w:r>
      <w:r w:rsidRPr="007F5D57">
        <w:rPr>
          <w:rStyle w:val="c-pjlv"/>
          <w:i/>
          <w:iCs/>
          <w:sz w:val="22"/>
          <w:szCs w:val="22"/>
        </w:rPr>
        <w:t>β</w:t>
      </w:r>
      <w:r w:rsidRPr="007F5D57">
        <w:rPr>
          <w:rStyle w:val="c-pjlv"/>
          <w:i/>
          <w:iCs/>
          <w:sz w:val="22"/>
          <w:szCs w:val="22"/>
          <w:vertAlign w:val="subscript"/>
        </w:rPr>
        <w:t>1</w:t>
      </w:r>
      <w:r w:rsidRPr="0058057D">
        <w:rPr>
          <w:rStyle w:val="c-pjlv"/>
          <w:sz w:val="22"/>
          <w:szCs w:val="22"/>
        </w:rPr>
        <w:t>Pro</w:t>
      </w:r>
      <w:r>
        <w:rPr>
          <w:rStyle w:val="c-pjlv"/>
          <w:sz w:val="22"/>
          <w:szCs w:val="22"/>
        </w:rPr>
        <w:t>perty Area</w:t>
      </w:r>
      <w:r w:rsidRPr="0058057D">
        <w:rPr>
          <w:rStyle w:val="c-pjlv"/>
          <w:sz w:val="22"/>
          <w:szCs w:val="22"/>
        </w:rPr>
        <w:t xml:space="preserve"> + </w:t>
      </w:r>
      <w:r w:rsidRPr="007F5D57">
        <w:rPr>
          <w:rStyle w:val="c-pjlv"/>
          <w:i/>
          <w:iCs/>
          <w:sz w:val="22"/>
          <w:szCs w:val="22"/>
        </w:rPr>
        <w:t>β</w:t>
      </w:r>
      <w:r w:rsidRPr="007F5D57">
        <w:rPr>
          <w:rStyle w:val="c-pjlv"/>
          <w:i/>
          <w:iCs/>
          <w:sz w:val="22"/>
          <w:szCs w:val="22"/>
          <w:vertAlign w:val="subscript"/>
        </w:rPr>
        <w:t>2</w:t>
      </w:r>
      <w:r>
        <w:rPr>
          <w:rStyle w:val="c-pjlv"/>
          <w:sz w:val="22"/>
          <w:szCs w:val="22"/>
        </w:rPr>
        <w:t>WithinPrecinct</w:t>
      </w:r>
      <w:r w:rsidRPr="0058057D">
        <w:rPr>
          <w:rStyle w:val="c-pjlv"/>
          <w:sz w:val="22"/>
          <w:szCs w:val="22"/>
        </w:rPr>
        <w:t xml:space="preserve"> + </w:t>
      </w:r>
      <w:r w:rsidRPr="007F5D57">
        <w:rPr>
          <w:rStyle w:val="c-pjlv"/>
          <w:i/>
          <w:iCs/>
          <w:sz w:val="22"/>
          <w:szCs w:val="22"/>
        </w:rPr>
        <w:t>β</w:t>
      </w:r>
      <w:r w:rsidRPr="00AF49A5">
        <w:rPr>
          <w:rStyle w:val="c-pjlv"/>
          <w:sz w:val="22"/>
          <w:szCs w:val="22"/>
          <w:vertAlign w:val="subscript"/>
        </w:rPr>
        <w:t>3</w:t>
      </w:r>
      <w:r w:rsidR="00891BDE">
        <w:rPr>
          <w:rStyle w:val="c-pjlv"/>
          <w:sz w:val="22"/>
          <w:szCs w:val="22"/>
        </w:rPr>
        <w:t>Within</w:t>
      </w:r>
      <w:r>
        <w:rPr>
          <w:rStyle w:val="c-pjlv"/>
          <w:sz w:val="22"/>
          <w:szCs w:val="22"/>
        </w:rPr>
        <w:t>400m</w:t>
      </w:r>
      <w:r w:rsidRPr="0058057D">
        <w:rPr>
          <w:rStyle w:val="c-pjlv"/>
          <w:sz w:val="22"/>
          <w:szCs w:val="22"/>
        </w:rPr>
        <w:t xml:space="preserve"> + </w:t>
      </w:r>
      <w:r w:rsidRPr="007F5D57">
        <w:rPr>
          <w:rStyle w:val="c-pjlv"/>
          <w:i/>
          <w:iCs/>
          <w:sz w:val="22"/>
          <w:szCs w:val="22"/>
          <w:vertAlign w:val="subscript"/>
        </w:rPr>
        <w:t>β</w:t>
      </w:r>
      <w:r w:rsidR="001F37FF">
        <w:rPr>
          <w:rStyle w:val="c-pjlv"/>
          <w:i/>
          <w:iCs/>
          <w:sz w:val="22"/>
          <w:szCs w:val="22"/>
          <w:vertAlign w:val="subscript"/>
        </w:rPr>
        <w:t>4</w:t>
      </w:r>
      <w:r w:rsidR="001F37FF">
        <w:rPr>
          <w:rStyle w:val="c-pjlv"/>
          <w:sz w:val="22"/>
          <w:szCs w:val="22"/>
        </w:rPr>
        <w:t xml:space="preserve"> Between400-800m</w:t>
      </w:r>
      <w:r w:rsidRPr="0058057D">
        <w:rPr>
          <w:rStyle w:val="c-pjlv"/>
          <w:sz w:val="22"/>
          <w:szCs w:val="22"/>
        </w:rPr>
        <w:t xml:space="preserve">+ </w:t>
      </w:r>
      <w:r w:rsidRPr="007F5D57">
        <w:rPr>
          <w:rStyle w:val="c-pjlv"/>
          <w:i/>
          <w:iCs/>
          <w:sz w:val="22"/>
          <w:szCs w:val="22"/>
        </w:rPr>
        <w:t>β</w:t>
      </w:r>
      <w:r w:rsidRPr="007F5D57">
        <w:rPr>
          <w:rStyle w:val="c-pjlv"/>
          <w:i/>
          <w:iCs/>
          <w:sz w:val="22"/>
          <w:szCs w:val="22"/>
          <w:vertAlign w:val="subscript"/>
        </w:rPr>
        <w:t>5</w:t>
      </w:r>
      <w:r w:rsidR="001652A4">
        <w:rPr>
          <w:rStyle w:val="c-pjlv"/>
          <w:sz w:val="22"/>
          <w:szCs w:val="22"/>
        </w:rPr>
        <w:t>Above</w:t>
      </w:r>
      <w:r>
        <w:rPr>
          <w:rStyle w:val="c-pjlv"/>
          <w:sz w:val="22"/>
          <w:szCs w:val="22"/>
        </w:rPr>
        <w:t xml:space="preserve"> 80</w:t>
      </w:r>
      <w:r w:rsidR="001F37FF">
        <w:rPr>
          <w:rStyle w:val="c-pjlv"/>
          <w:sz w:val="22"/>
          <w:szCs w:val="22"/>
        </w:rPr>
        <w:t>0</w:t>
      </w:r>
      <w:r w:rsidRPr="0058057D">
        <w:rPr>
          <w:rStyle w:val="c-pjlv"/>
          <w:sz w:val="22"/>
          <w:szCs w:val="22"/>
        </w:rPr>
        <w:t xml:space="preserve">+ </w:t>
      </w:r>
      <w:r w:rsidRPr="007F5D57">
        <w:rPr>
          <w:rStyle w:val="c-pjlv"/>
          <w:i/>
          <w:iCs/>
          <w:sz w:val="22"/>
          <w:szCs w:val="22"/>
        </w:rPr>
        <w:t>β</w:t>
      </w:r>
      <w:r w:rsidRPr="007F5D57">
        <w:rPr>
          <w:rStyle w:val="c-pjlv"/>
          <w:i/>
          <w:iCs/>
          <w:sz w:val="22"/>
          <w:szCs w:val="22"/>
          <w:vertAlign w:val="subscript"/>
        </w:rPr>
        <w:t>6</w:t>
      </w:r>
      <w:r>
        <w:rPr>
          <w:rStyle w:val="c-pjlv"/>
          <w:sz w:val="22"/>
          <w:szCs w:val="22"/>
        </w:rPr>
        <w:t>Total Lots</w:t>
      </w:r>
      <w:r w:rsidRPr="0058057D">
        <w:rPr>
          <w:rStyle w:val="c-pjlv"/>
          <w:sz w:val="22"/>
          <w:szCs w:val="22"/>
        </w:rPr>
        <w:t xml:space="preserve"> + ε</w:t>
      </w:r>
    </w:p>
    <w:p w14:paraId="516CD67C" w14:textId="77777777" w:rsidR="001652A4" w:rsidRPr="00A55217" w:rsidRDefault="001652A4" w:rsidP="007F5D57">
      <w:pPr>
        <w:pStyle w:val="NormalWeb"/>
        <w:jc w:val="both"/>
        <w:rPr>
          <w:rStyle w:val="c-pjlv"/>
          <w:sz w:val="22"/>
          <w:szCs w:val="22"/>
        </w:rPr>
      </w:pPr>
      <w:r w:rsidRPr="00A55217">
        <w:rPr>
          <w:rStyle w:val="c-pjlv"/>
          <w:sz w:val="22"/>
          <w:szCs w:val="22"/>
        </w:rPr>
        <w:t>Where:</w:t>
      </w:r>
    </w:p>
    <w:p w14:paraId="1D82FF59" w14:textId="6129D892" w:rsidR="001652A4" w:rsidRPr="001F37FF" w:rsidRDefault="001F37FF" w:rsidP="007F5D57">
      <w:pPr>
        <w:pStyle w:val="NormalWeb"/>
        <w:numPr>
          <w:ilvl w:val="0"/>
          <w:numId w:val="2"/>
        </w:numPr>
        <w:jc w:val="both"/>
        <w:rPr>
          <w:rStyle w:val="c-pjlv"/>
          <w:sz w:val="22"/>
          <w:szCs w:val="22"/>
        </w:rPr>
      </w:pPr>
      <w:r w:rsidRPr="007F5D57">
        <w:rPr>
          <w:rStyle w:val="c-pjlv"/>
          <w:sz w:val="22"/>
          <w:szCs w:val="22"/>
        </w:rPr>
        <w:t xml:space="preserve">Ln(Land Value): The dependent </w:t>
      </w:r>
      <w:r w:rsidRPr="007F5D57">
        <w:rPr>
          <w:rStyle w:val="c-pjlv"/>
          <w:color w:val="000000"/>
          <w:sz w:val="22"/>
          <w:szCs w:val="22"/>
        </w:rPr>
        <w:t>variable</w:t>
      </w:r>
      <w:r w:rsidRPr="007F5D57">
        <w:rPr>
          <w:rStyle w:val="c-pjlv"/>
          <w:sz w:val="22"/>
          <w:szCs w:val="22"/>
        </w:rPr>
        <w:t xml:space="preserve"> represents the natural log of the Current Valuation of a property.</w:t>
      </w:r>
    </w:p>
    <w:p w14:paraId="1359E6E3" w14:textId="2EEEE2E4" w:rsidR="001652A4" w:rsidRPr="001F37FF" w:rsidRDefault="001652A4" w:rsidP="007F5D57">
      <w:pPr>
        <w:pStyle w:val="NormalWeb"/>
        <w:numPr>
          <w:ilvl w:val="0"/>
          <w:numId w:val="2"/>
        </w:numPr>
        <w:jc w:val="both"/>
        <w:rPr>
          <w:rStyle w:val="c-pjlv"/>
          <w:sz w:val="22"/>
          <w:szCs w:val="22"/>
        </w:rPr>
      </w:pPr>
      <w:r w:rsidRPr="007F5D57">
        <w:rPr>
          <w:rStyle w:val="c-pjlv"/>
          <w:i/>
          <w:iCs/>
          <w:sz w:val="22"/>
          <w:szCs w:val="22"/>
        </w:rPr>
        <w:t>β0 i</w:t>
      </w:r>
      <w:r w:rsidRPr="001F37FF">
        <w:rPr>
          <w:rStyle w:val="c-pjlv"/>
          <w:sz w:val="22"/>
          <w:szCs w:val="22"/>
        </w:rPr>
        <w:t xml:space="preserve">s the intercept term representing the base value </w:t>
      </w:r>
      <w:r w:rsidRPr="001F37FF">
        <w:rPr>
          <w:rStyle w:val="c-pjlv"/>
          <w:color w:val="000000"/>
          <w:sz w:val="22"/>
          <w:szCs w:val="22"/>
        </w:rPr>
        <w:t>of</w:t>
      </w:r>
      <w:r w:rsidRPr="001F37FF">
        <w:rPr>
          <w:rStyle w:val="c-pjlv"/>
          <w:sz w:val="22"/>
          <w:szCs w:val="22"/>
        </w:rPr>
        <w:t xml:space="preserve"> Ln (Land Value) when all other variables are zero.</w:t>
      </w:r>
    </w:p>
    <w:p w14:paraId="7AFB5E97" w14:textId="77777777" w:rsidR="001652A4" w:rsidRPr="001F37FF" w:rsidRDefault="001652A4" w:rsidP="007F5D57">
      <w:pPr>
        <w:pStyle w:val="NormalWeb"/>
        <w:numPr>
          <w:ilvl w:val="0"/>
          <w:numId w:val="2"/>
        </w:numPr>
        <w:jc w:val="both"/>
        <w:rPr>
          <w:rStyle w:val="c-pjlv"/>
          <w:sz w:val="22"/>
          <w:szCs w:val="22"/>
        </w:rPr>
      </w:pPr>
      <w:r w:rsidRPr="007F5D57">
        <w:rPr>
          <w:rStyle w:val="c-pjlv"/>
          <w:i/>
          <w:iCs/>
          <w:sz w:val="22"/>
          <w:szCs w:val="22"/>
        </w:rPr>
        <w:t>β</w:t>
      </w:r>
      <w:r w:rsidRPr="007F5D57">
        <w:rPr>
          <w:rStyle w:val="c-pjlv"/>
          <w:i/>
          <w:iCs/>
          <w:sz w:val="22"/>
          <w:szCs w:val="22"/>
          <w:vertAlign w:val="subscript"/>
        </w:rPr>
        <w:t>1</w:t>
      </w:r>
      <w:r w:rsidRPr="001F37FF">
        <w:rPr>
          <w:rStyle w:val="c-pjlv"/>
          <w:sz w:val="22"/>
          <w:szCs w:val="22"/>
        </w:rPr>
        <w:t xml:space="preserve">: Coefficient for </w:t>
      </w:r>
      <w:r w:rsidRPr="001F37FF">
        <w:rPr>
          <w:rStyle w:val="c-pjlv"/>
          <w:color w:val="000000"/>
          <w:sz w:val="22"/>
          <w:szCs w:val="22"/>
        </w:rPr>
        <w:t>Property Area,</w:t>
      </w:r>
      <w:r w:rsidRPr="001F37FF">
        <w:rPr>
          <w:rStyle w:val="c-pjlv"/>
          <w:sz w:val="22"/>
          <w:szCs w:val="22"/>
        </w:rPr>
        <w:t xml:space="preserve"> representing the change in Ln (Land Value) for a one-unit increase in property area, holding all other variables constant.</w:t>
      </w:r>
    </w:p>
    <w:p w14:paraId="1868B5AD" w14:textId="77777777" w:rsidR="001652A4" w:rsidRPr="00A55217" w:rsidRDefault="001652A4" w:rsidP="007F5D57">
      <w:pPr>
        <w:pStyle w:val="NormalWeb"/>
        <w:numPr>
          <w:ilvl w:val="0"/>
          <w:numId w:val="2"/>
        </w:numPr>
        <w:jc w:val="both"/>
        <w:rPr>
          <w:rStyle w:val="c-pjlv"/>
          <w:sz w:val="22"/>
          <w:szCs w:val="22"/>
        </w:rPr>
      </w:pPr>
      <w:r w:rsidRPr="007F5D57">
        <w:rPr>
          <w:rStyle w:val="c-pjlv"/>
          <w:i/>
          <w:iCs/>
          <w:sz w:val="22"/>
          <w:szCs w:val="22"/>
        </w:rPr>
        <w:t>β</w:t>
      </w:r>
      <w:r w:rsidRPr="007F5D57">
        <w:rPr>
          <w:rStyle w:val="c-pjlv"/>
          <w:i/>
          <w:iCs/>
          <w:sz w:val="22"/>
          <w:szCs w:val="22"/>
          <w:vertAlign w:val="subscript"/>
        </w:rPr>
        <w:t>2</w:t>
      </w:r>
      <w:r w:rsidRPr="001F37FF">
        <w:rPr>
          <w:rStyle w:val="c-pjlv"/>
          <w:sz w:val="22"/>
          <w:szCs w:val="22"/>
        </w:rPr>
        <w:t>: Coefficient for the</w:t>
      </w:r>
      <w:r w:rsidRPr="00A55217">
        <w:rPr>
          <w:rStyle w:val="c-pjlv"/>
          <w:sz w:val="22"/>
          <w:szCs w:val="22"/>
        </w:rPr>
        <w:t xml:space="preserve"> </w:t>
      </w:r>
      <w:r w:rsidRPr="00B16893">
        <w:rPr>
          <w:rStyle w:val="c-pjlv"/>
          <w:color w:val="000000"/>
          <w:sz w:val="22"/>
          <w:szCs w:val="22"/>
        </w:rPr>
        <w:t>'withinPrecinct'</w:t>
      </w:r>
      <w:r w:rsidRPr="00A55217">
        <w:rPr>
          <w:rStyle w:val="c-pjlv"/>
          <w:sz w:val="22"/>
          <w:szCs w:val="22"/>
        </w:rPr>
        <w:t xml:space="preserve"> dummy variable. A value of 1 indicates that the property is within the Queen's Wharf </w:t>
      </w:r>
      <w:r w:rsidRPr="00B16893">
        <w:rPr>
          <w:rStyle w:val="c-pjlv"/>
          <w:color w:val="000000"/>
          <w:sz w:val="22"/>
          <w:szCs w:val="22"/>
        </w:rPr>
        <w:t>precinct</w:t>
      </w:r>
      <w:r w:rsidRPr="00A55217">
        <w:rPr>
          <w:rStyle w:val="c-pjlv"/>
          <w:sz w:val="22"/>
          <w:szCs w:val="22"/>
        </w:rPr>
        <w:t xml:space="preserve"> and 0 otherwise.</w:t>
      </w:r>
    </w:p>
    <w:p w14:paraId="040E7A34" w14:textId="77777777" w:rsidR="001652A4" w:rsidRPr="00A55217" w:rsidRDefault="001652A4" w:rsidP="007F5D57">
      <w:pPr>
        <w:pStyle w:val="NormalWeb"/>
        <w:numPr>
          <w:ilvl w:val="0"/>
          <w:numId w:val="2"/>
        </w:numPr>
        <w:jc w:val="both"/>
        <w:rPr>
          <w:rStyle w:val="c-pjlv"/>
          <w:sz w:val="22"/>
          <w:szCs w:val="22"/>
        </w:rPr>
      </w:pPr>
      <w:r w:rsidRPr="0058057D">
        <w:rPr>
          <w:rStyle w:val="c-pjlv"/>
          <w:sz w:val="22"/>
          <w:szCs w:val="22"/>
        </w:rPr>
        <w:t>β</w:t>
      </w:r>
      <w:r w:rsidRPr="007F5D57">
        <w:rPr>
          <w:rStyle w:val="c-pjlv"/>
          <w:i/>
          <w:iCs/>
          <w:sz w:val="22"/>
          <w:szCs w:val="22"/>
          <w:vertAlign w:val="subscript"/>
        </w:rPr>
        <w:t>3</w:t>
      </w:r>
      <w:r w:rsidRPr="007F5D57">
        <w:rPr>
          <w:rStyle w:val="c-pjlv"/>
          <w:i/>
          <w:iCs/>
          <w:sz w:val="22"/>
          <w:szCs w:val="22"/>
        </w:rPr>
        <w:t>:</w:t>
      </w:r>
      <w:r>
        <w:rPr>
          <w:rStyle w:val="c-pjlv"/>
          <w:sz w:val="22"/>
          <w:szCs w:val="22"/>
        </w:rPr>
        <w:t xml:space="preserve"> </w:t>
      </w:r>
      <w:r w:rsidRPr="00A55217">
        <w:rPr>
          <w:rStyle w:val="c-pjlv"/>
          <w:sz w:val="22"/>
          <w:szCs w:val="22"/>
        </w:rPr>
        <w:t xml:space="preserve">Coefficient for properties </w:t>
      </w:r>
      <w:r w:rsidRPr="00B16893">
        <w:rPr>
          <w:rStyle w:val="c-pjlv"/>
          <w:color w:val="000000"/>
          <w:sz w:val="22"/>
          <w:szCs w:val="22"/>
        </w:rPr>
        <w:t>within 400m</w:t>
      </w:r>
      <w:r w:rsidRPr="00A55217">
        <w:rPr>
          <w:rStyle w:val="c-pjlv"/>
          <w:sz w:val="22"/>
          <w:szCs w:val="22"/>
        </w:rPr>
        <w:t xml:space="preserve"> of the megaproject, indicating the change in </w:t>
      </w:r>
      <w:r>
        <w:rPr>
          <w:rStyle w:val="c-pjlv"/>
          <w:sz w:val="22"/>
          <w:szCs w:val="22"/>
        </w:rPr>
        <w:t>Ln (</w:t>
      </w:r>
      <w:r w:rsidRPr="0058057D">
        <w:rPr>
          <w:rStyle w:val="c-pjlv"/>
          <w:sz w:val="22"/>
          <w:szCs w:val="22"/>
        </w:rPr>
        <w:t>Land Value</w:t>
      </w:r>
      <w:r>
        <w:rPr>
          <w:rStyle w:val="c-pjlv"/>
          <w:sz w:val="22"/>
          <w:szCs w:val="22"/>
        </w:rPr>
        <w:t xml:space="preserve">) </w:t>
      </w:r>
      <w:r w:rsidRPr="0058057D">
        <w:rPr>
          <w:rStyle w:val="c-pjlv"/>
          <w:sz w:val="22"/>
          <w:szCs w:val="22"/>
        </w:rPr>
        <w:t xml:space="preserve"> </w:t>
      </w:r>
      <w:r w:rsidRPr="00A55217">
        <w:rPr>
          <w:rStyle w:val="c-pjlv"/>
          <w:sz w:val="22"/>
          <w:szCs w:val="22"/>
        </w:rPr>
        <w:t>for properties within this distance band.</w:t>
      </w:r>
    </w:p>
    <w:p w14:paraId="3A72D3E3" w14:textId="77777777" w:rsidR="001652A4" w:rsidRPr="00A55217" w:rsidRDefault="001652A4" w:rsidP="007F5D57">
      <w:pPr>
        <w:pStyle w:val="NormalWeb"/>
        <w:numPr>
          <w:ilvl w:val="0"/>
          <w:numId w:val="2"/>
        </w:numPr>
        <w:jc w:val="both"/>
        <w:rPr>
          <w:rStyle w:val="c-pjlv"/>
          <w:sz w:val="22"/>
          <w:szCs w:val="22"/>
        </w:rPr>
      </w:pPr>
      <w:r w:rsidRPr="007F5D57">
        <w:rPr>
          <w:rStyle w:val="c-pjlv"/>
          <w:i/>
          <w:iCs/>
          <w:sz w:val="22"/>
          <w:szCs w:val="22"/>
        </w:rPr>
        <w:t>β</w:t>
      </w:r>
      <w:r w:rsidRPr="007F5D57">
        <w:rPr>
          <w:rStyle w:val="c-pjlv"/>
          <w:i/>
          <w:iCs/>
          <w:sz w:val="22"/>
          <w:szCs w:val="22"/>
          <w:vertAlign w:val="subscript"/>
        </w:rPr>
        <w:t>4</w:t>
      </w:r>
      <w:r w:rsidRPr="00A55217">
        <w:rPr>
          <w:rStyle w:val="c-pjlv"/>
          <w:sz w:val="22"/>
          <w:szCs w:val="22"/>
        </w:rPr>
        <w:t xml:space="preserve">: Coefficient for properties </w:t>
      </w:r>
      <w:r w:rsidRPr="00B16893">
        <w:rPr>
          <w:rStyle w:val="c-pjlv"/>
          <w:color w:val="000000"/>
          <w:sz w:val="22"/>
          <w:szCs w:val="22"/>
        </w:rPr>
        <w:t>between 400-800m</w:t>
      </w:r>
      <w:r w:rsidRPr="00A55217">
        <w:rPr>
          <w:rStyle w:val="c-pjlv"/>
          <w:sz w:val="22"/>
          <w:szCs w:val="22"/>
        </w:rPr>
        <w:t xml:space="preserve"> from the megaproject, indicating the change in </w:t>
      </w:r>
      <w:r>
        <w:rPr>
          <w:rStyle w:val="c-pjlv"/>
          <w:sz w:val="22"/>
          <w:szCs w:val="22"/>
        </w:rPr>
        <w:t>Ln (</w:t>
      </w:r>
      <w:r w:rsidRPr="0058057D">
        <w:rPr>
          <w:rStyle w:val="c-pjlv"/>
          <w:sz w:val="22"/>
          <w:szCs w:val="22"/>
        </w:rPr>
        <w:t>Land Value</w:t>
      </w:r>
      <w:r>
        <w:rPr>
          <w:rStyle w:val="c-pjlv"/>
          <w:sz w:val="22"/>
          <w:szCs w:val="22"/>
        </w:rPr>
        <w:t xml:space="preserve">) </w:t>
      </w:r>
      <w:r w:rsidRPr="00A55217">
        <w:rPr>
          <w:rStyle w:val="c-pjlv"/>
          <w:sz w:val="22"/>
          <w:szCs w:val="22"/>
        </w:rPr>
        <w:t>for properties within this distance band.</w:t>
      </w:r>
    </w:p>
    <w:p w14:paraId="623791BD" w14:textId="77777777" w:rsidR="001652A4" w:rsidRPr="00A55217" w:rsidRDefault="001652A4" w:rsidP="007F5D57">
      <w:pPr>
        <w:pStyle w:val="NormalWeb"/>
        <w:numPr>
          <w:ilvl w:val="0"/>
          <w:numId w:val="2"/>
        </w:numPr>
        <w:jc w:val="both"/>
        <w:rPr>
          <w:rStyle w:val="c-pjlv"/>
          <w:sz w:val="22"/>
          <w:szCs w:val="22"/>
        </w:rPr>
      </w:pPr>
      <w:r w:rsidRPr="007F5D57">
        <w:rPr>
          <w:rStyle w:val="c-pjlv"/>
          <w:i/>
          <w:iCs/>
          <w:sz w:val="22"/>
          <w:szCs w:val="22"/>
        </w:rPr>
        <w:t>β</w:t>
      </w:r>
      <w:r w:rsidRPr="007F5D57">
        <w:rPr>
          <w:rStyle w:val="c-pjlv"/>
          <w:i/>
          <w:iCs/>
          <w:sz w:val="22"/>
          <w:szCs w:val="22"/>
          <w:vertAlign w:val="subscript"/>
        </w:rPr>
        <w:t>5</w:t>
      </w:r>
      <w:r>
        <w:rPr>
          <w:rStyle w:val="c-pjlv"/>
          <w:sz w:val="22"/>
          <w:szCs w:val="22"/>
        </w:rPr>
        <w:t xml:space="preserve">: </w:t>
      </w:r>
      <w:r w:rsidRPr="00A55217">
        <w:rPr>
          <w:rStyle w:val="c-pjlv"/>
          <w:sz w:val="22"/>
          <w:szCs w:val="22"/>
        </w:rPr>
        <w:t xml:space="preserve">Coefficient for properties 'Above 800m' from the megaproject, indicating the change in </w:t>
      </w:r>
      <w:r>
        <w:rPr>
          <w:rStyle w:val="c-pjlv"/>
          <w:sz w:val="22"/>
          <w:szCs w:val="22"/>
        </w:rPr>
        <w:t>Ln (</w:t>
      </w:r>
      <w:r w:rsidRPr="0058057D">
        <w:rPr>
          <w:rStyle w:val="c-pjlv"/>
          <w:sz w:val="22"/>
          <w:szCs w:val="22"/>
        </w:rPr>
        <w:t>Land Value</w:t>
      </w:r>
      <w:r>
        <w:rPr>
          <w:rStyle w:val="c-pjlv"/>
          <w:sz w:val="22"/>
          <w:szCs w:val="22"/>
        </w:rPr>
        <w:t xml:space="preserve">) </w:t>
      </w:r>
      <w:r w:rsidRPr="00A55217">
        <w:rPr>
          <w:rStyle w:val="c-pjlv"/>
          <w:sz w:val="22"/>
          <w:szCs w:val="22"/>
        </w:rPr>
        <w:t>for properties within this distance band.</w:t>
      </w:r>
    </w:p>
    <w:p w14:paraId="08DEFD8B" w14:textId="77777777" w:rsidR="001652A4" w:rsidRDefault="001652A4" w:rsidP="007F5D57">
      <w:pPr>
        <w:pStyle w:val="NormalWeb"/>
        <w:numPr>
          <w:ilvl w:val="0"/>
          <w:numId w:val="2"/>
        </w:numPr>
        <w:jc w:val="both"/>
        <w:rPr>
          <w:rStyle w:val="c-pjlv"/>
          <w:sz w:val="22"/>
          <w:szCs w:val="22"/>
        </w:rPr>
      </w:pPr>
      <w:r w:rsidRPr="007F5D57">
        <w:rPr>
          <w:rStyle w:val="c-pjlv"/>
          <w:i/>
          <w:iCs/>
          <w:sz w:val="22"/>
          <w:szCs w:val="22"/>
        </w:rPr>
        <w:t>β</w:t>
      </w:r>
      <w:r w:rsidRPr="007F5D57">
        <w:rPr>
          <w:rStyle w:val="c-pjlv"/>
          <w:i/>
          <w:iCs/>
          <w:sz w:val="22"/>
          <w:szCs w:val="22"/>
          <w:vertAlign w:val="subscript"/>
        </w:rPr>
        <w:t>6</w:t>
      </w:r>
      <w:r w:rsidRPr="00A55217">
        <w:rPr>
          <w:rStyle w:val="c-pjlv"/>
          <w:sz w:val="22"/>
          <w:szCs w:val="22"/>
        </w:rPr>
        <w:t xml:space="preserve">: Coefficient for </w:t>
      </w:r>
      <w:r w:rsidRPr="00B16893">
        <w:rPr>
          <w:rStyle w:val="c-pjlv"/>
          <w:color w:val="000000"/>
          <w:sz w:val="22"/>
          <w:szCs w:val="22"/>
        </w:rPr>
        <w:t>Total Lots,</w:t>
      </w:r>
      <w:r w:rsidRPr="00A55217">
        <w:rPr>
          <w:rStyle w:val="c-pjlv"/>
          <w:sz w:val="22"/>
          <w:szCs w:val="22"/>
        </w:rPr>
        <w:t xml:space="preserve"> representing the change in </w:t>
      </w:r>
      <w:r>
        <w:rPr>
          <w:rStyle w:val="c-pjlv"/>
          <w:sz w:val="22"/>
          <w:szCs w:val="22"/>
        </w:rPr>
        <w:t>Ln (</w:t>
      </w:r>
      <w:r w:rsidRPr="0058057D">
        <w:rPr>
          <w:rStyle w:val="c-pjlv"/>
          <w:sz w:val="22"/>
          <w:szCs w:val="22"/>
        </w:rPr>
        <w:t>Land Value</w:t>
      </w:r>
      <w:r>
        <w:rPr>
          <w:rStyle w:val="c-pjlv"/>
          <w:sz w:val="22"/>
          <w:szCs w:val="22"/>
        </w:rPr>
        <w:t xml:space="preserve">) </w:t>
      </w:r>
      <w:r w:rsidRPr="00A55217">
        <w:rPr>
          <w:rStyle w:val="c-pjlv"/>
          <w:sz w:val="22"/>
          <w:szCs w:val="22"/>
        </w:rPr>
        <w:t>for a one-unit increase in the number of lots, holding all other variables constant.</w:t>
      </w:r>
    </w:p>
    <w:p w14:paraId="45BA7F20" w14:textId="0CE58428" w:rsidR="001652A4" w:rsidRPr="00A55217" w:rsidRDefault="001652A4" w:rsidP="007F5D57">
      <w:pPr>
        <w:pStyle w:val="NormalWeb"/>
        <w:numPr>
          <w:ilvl w:val="0"/>
          <w:numId w:val="2"/>
        </w:numPr>
        <w:jc w:val="both"/>
        <w:rPr>
          <w:rStyle w:val="c-pjlv"/>
          <w:sz w:val="22"/>
          <w:szCs w:val="22"/>
        </w:rPr>
      </w:pPr>
      <w:r w:rsidRPr="007F5D57">
        <w:rPr>
          <w:rStyle w:val="c-pjlv"/>
          <w:i/>
          <w:iCs/>
          <w:sz w:val="22"/>
          <w:szCs w:val="22"/>
        </w:rPr>
        <w:t>ε</w:t>
      </w:r>
      <w:r>
        <w:rPr>
          <w:rStyle w:val="c-pjlv"/>
          <w:sz w:val="22"/>
          <w:szCs w:val="22"/>
        </w:rPr>
        <w:t>:</w:t>
      </w:r>
      <w:r w:rsidRPr="00A55217">
        <w:rPr>
          <w:rStyle w:val="c-pjlv"/>
          <w:sz w:val="22"/>
          <w:szCs w:val="22"/>
        </w:rPr>
        <w:t xml:space="preserve"> Error term.</w:t>
      </w:r>
    </w:p>
    <w:p w14:paraId="06555B62" w14:textId="2519CB24" w:rsidR="00891BDE" w:rsidRPr="00CD3F5A" w:rsidRDefault="00211575" w:rsidP="007F5D57">
      <w:pPr>
        <w:pStyle w:val="NormalWeb"/>
        <w:jc w:val="both"/>
        <w:rPr>
          <w:rStyle w:val="c-pjlv"/>
          <w:sz w:val="22"/>
          <w:szCs w:val="22"/>
        </w:rPr>
      </w:pPr>
      <w:r w:rsidRPr="007F5D57">
        <w:rPr>
          <w:sz w:val="22"/>
          <w:szCs w:val="22"/>
        </w:rPr>
        <w:t xml:space="preserve">We used </w:t>
      </w:r>
      <w:r w:rsidRPr="007F5D57">
        <w:rPr>
          <w:rStyle w:val="c-pjlv"/>
          <w:sz w:val="22"/>
          <w:szCs w:val="22"/>
        </w:rPr>
        <w:t>the Ordinary Least Squares (OLS) method to estimate these coefficients.</w:t>
      </w:r>
      <w:r w:rsidR="001652A4" w:rsidRPr="00CD3F5A">
        <w:rPr>
          <w:sz w:val="22"/>
          <w:szCs w:val="22"/>
        </w:rPr>
        <w:t xml:space="preserve"> </w:t>
      </w:r>
      <w:r w:rsidR="001652A4" w:rsidRPr="00CD3F5A">
        <w:rPr>
          <w:rStyle w:val="c-pjlv"/>
          <w:sz w:val="22"/>
          <w:szCs w:val="22"/>
        </w:rPr>
        <w:t xml:space="preserve">Bootstrapping techniques were applied to validate the model and to ensure its robustness. </w:t>
      </w:r>
      <w:r w:rsidRPr="007F5D57">
        <w:rPr>
          <w:rStyle w:val="c-pjlv"/>
          <w:sz w:val="22"/>
          <w:szCs w:val="22"/>
        </w:rPr>
        <w:t>Robust standard errors were clustered at the spatial level to account for correlations within distance rings.</w:t>
      </w:r>
      <w:r w:rsidR="001652A4" w:rsidRPr="00CD3F5A">
        <w:rPr>
          <w:rStyle w:val="c-pjlv"/>
          <w:sz w:val="22"/>
          <w:szCs w:val="22"/>
        </w:rPr>
        <w:t xml:space="preserve"> </w:t>
      </w:r>
      <w:r w:rsidRPr="007F5D57">
        <w:rPr>
          <w:rStyle w:val="c-pjlv"/>
          <w:sz w:val="22"/>
          <w:szCs w:val="22"/>
        </w:rPr>
        <w:t>Table 4 in the Appendix lists the correlation matrix, suggesting a strong negative correlation of -0.91 between Distance to Project and Within400.</w:t>
      </w:r>
      <w:r w:rsidR="00891BDE" w:rsidRPr="00CD3F5A">
        <w:rPr>
          <w:rStyle w:val="c-pjlv"/>
          <w:sz w:val="22"/>
          <w:szCs w:val="22"/>
        </w:rPr>
        <w:t xml:space="preserve"> </w:t>
      </w:r>
      <w:r w:rsidRPr="007F5D57">
        <w:rPr>
          <w:rStyle w:val="c-pjlv"/>
          <w:sz w:val="22"/>
          <w:szCs w:val="22"/>
        </w:rPr>
        <w:t>To avoid multicollinearity, DistanceToProject was removed from the final regression.</w:t>
      </w:r>
      <w:r w:rsidR="00891BDE" w:rsidRPr="00CD3F5A">
        <w:rPr>
          <w:rStyle w:val="c-pjlv"/>
          <w:sz w:val="22"/>
          <w:szCs w:val="22"/>
        </w:rPr>
        <w:t xml:space="preserve"> </w:t>
      </w:r>
      <w:r w:rsidR="00891BDE" w:rsidRPr="00CD3F5A">
        <w:rPr>
          <w:rStyle w:val="c-pjlv"/>
          <w:color w:val="000000"/>
          <w:sz w:val="22"/>
          <w:szCs w:val="22"/>
        </w:rPr>
        <w:t>Normalisation</w:t>
      </w:r>
      <w:r w:rsidR="00891BDE" w:rsidRPr="00CD3F5A">
        <w:rPr>
          <w:rStyle w:val="c-pjlv"/>
          <w:sz w:val="22"/>
          <w:szCs w:val="22"/>
        </w:rPr>
        <w:t xml:space="preserve"> was performed to bring all variables to a common scale, ensuring that no variable disproportionately influenced the model. </w:t>
      </w:r>
      <w:r w:rsidRPr="007F5D57">
        <w:rPr>
          <w:rStyle w:val="c-pjlv"/>
          <w:sz w:val="22"/>
          <w:szCs w:val="22"/>
        </w:rPr>
        <w:lastRenderedPageBreak/>
        <w:t xml:space="preserve">Finally, the dependent variable was transformed using the natural logarithm to better deal with skewness in the valuation data and </w:t>
      </w:r>
      <w:r w:rsidRPr="007F5D57">
        <w:rPr>
          <w:rStyle w:val="c-pjlv"/>
          <w:color w:val="000000"/>
          <w:sz w:val="22"/>
          <w:szCs w:val="22"/>
        </w:rPr>
        <w:t>achieve</w:t>
      </w:r>
      <w:r w:rsidRPr="007F5D57">
        <w:rPr>
          <w:rStyle w:val="c-pjlv"/>
          <w:sz w:val="22"/>
          <w:szCs w:val="22"/>
        </w:rPr>
        <w:t xml:space="preserve"> more intuitively interpretable results.</w:t>
      </w:r>
      <w:r w:rsidR="00891BDE" w:rsidRPr="00CD3F5A">
        <w:rPr>
          <w:rStyle w:val="c-pjlv"/>
          <w:sz w:val="22"/>
          <w:szCs w:val="22"/>
        </w:rPr>
        <w:t xml:space="preserve"> </w:t>
      </w:r>
    </w:p>
    <w:p w14:paraId="250561A3" w14:textId="296A7AD3" w:rsidR="00BA473B" w:rsidRDefault="00BA473B" w:rsidP="00BA473B">
      <w:pPr>
        <w:pStyle w:val="Heading1"/>
        <w:jc w:val="both"/>
      </w:pPr>
      <w:r>
        <w:t>Results</w:t>
      </w:r>
    </w:p>
    <w:p w14:paraId="1C5B830F" w14:textId="197A4D03" w:rsidR="00A850E1" w:rsidRPr="007F5D57" w:rsidRDefault="00211575" w:rsidP="007F5D57">
      <w:pPr>
        <w:rPr>
          <w:b/>
          <w:bCs/>
          <w:color w:val="000000" w:themeColor="text1"/>
          <w:szCs w:val="22"/>
        </w:rPr>
      </w:pPr>
      <w:r w:rsidRPr="007F5D57">
        <w:rPr>
          <w:color w:val="000000" w:themeColor="text1"/>
          <w:szCs w:val="22"/>
        </w:rPr>
        <w:t>We present the empirical results of applying the hedonic regression model to the dataset.</w:t>
      </w:r>
      <w:r w:rsidR="003639D8" w:rsidRPr="007F5D57">
        <w:rPr>
          <w:color w:val="000000" w:themeColor="text1"/>
          <w:szCs w:val="22"/>
        </w:rPr>
        <w:t xml:space="preserve"> The model revealed statistically significant coefficients for key variables like 'WithinPrecinct' and distance bands ('Within 400m', 'Between 400-800m', 'Above 800m'). </w:t>
      </w:r>
      <w:r w:rsidRPr="007F5D57">
        <w:rPr>
          <w:color w:val="000000" w:themeColor="text1"/>
          <w:szCs w:val="22"/>
        </w:rPr>
        <w:t>These results are robust to various checks and validations including bootstrapping.</w:t>
      </w:r>
      <w:r w:rsidR="003639D8" w:rsidRPr="007F5D57">
        <w:rPr>
          <w:color w:val="000000" w:themeColor="text1"/>
          <w:szCs w:val="22"/>
        </w:rPr>
        <w:t xml:space="preserve"> </w:t>
      </w:r>
      <w:r w:rsidRPr="007F5D57">
        <w:rPr>
          <w:color w:val="000000" w:themeColor="text1"/>
          <w:szCs w:val="22"/>
        </w:rPr>
        <w:t>The model’s overall fit is statistically significant, with an F-statistic of 67.301, which is highly significant at the 1% level.</w:t>
      </w:r>
      <w:r w:rsidR="003639D8" w:rsidRPr="007F5D57">
        <w:rPr>
          <w:color w:val="000000" w:themeColor="text1"/>
          <w:szCs w:val="22"/>
        </w:rPr>
        <w:t xml:space="preserve"> </w:t>
      </w:r>
      <w:r w:rsidRPr="007F5D57">
        <w:rPr>
          <w:color w:val="000000" w:themeColor="text1"/>
          <w:szCs w:val="22"/>
        </w:rPr>
        <w:t>Our hedonic model showed an adjusted R</w:t>
      </w:r>
      <w:r w:rsidRPr="007F5D57">
        <w:rPr>
          <w:color w:val="000000" w:themeColor="text1"/>
          <w:szCs w:val="22"/>
          <w:vertAlign w:val="superscript"/>
        </w:rPr>
        <w:t xml:space="preserve">2 </w:t>
      </w:r>
      <w:r w:rsidRPr="007F5D57">
        <w:rPr>
          <w:color w:val="000000" w:themeColor="text1"/>
          <w:szCs w:val="22"/>
        </w:rPr>
        <w:t>of 0.350, indicating that approximately 35% of the variance in our dependent variable was explained by the set of variables.</w:t>
      </w:r>
      <w:r w:rsidR="003639D8" w:rsidRPr="007F5D57">
        <w:rPr>
          <w:color w:val="000000" w:themeColor="text1"/>
          <w:szCs w:val="22"/>
        </w:rPr>
        <w:t xml:space="preserve"> </w:t>
      </w:r>
      <w:r w:rsidR="00BC0E14">
        <w:rPr>
          <w:color w:val="000000" w:themeColor="text1"/>
          <w:szCs w:val="22"/>
        </w:rPr>
        <w:t>Site values</w:t>
      </w:r>
      <w:r w:rsidR="00BC0E14" w:rsidRPr="007F5D57">
        <w:rPr>
          <w:color w:val="000000" w:themeColor="text1"/>
          <w:szCs w:val="22"/>
        </w:rPr>
        <w:t xml:space="preserve"> with more lots were generally more valuable</w:t>
      </w:r>
      <w:r w:rsidR="00BC0E14">
        <w:rPr>
          <w:color w:val="000000" w:themeColor="text1"/>
          <w:szCs w:val="22"/>
        </w:rPr>
        <w:t xml:space="preserve">, as indicated by the positive coefficient of </w:t>
      </w:r>
      <w:r w:rsidR="00BC0E14" w:rsidRPr="005455A9">
        <w:rPr>
          <w:color w:val="000000" w:themeColor="text1"/>
          <w:szCs w:val="22"/>
        </w:rPr>
        <w:t>0.11</w:t>
      </w:r>
      <w:r w:rsidR="00BC0E14">
        <w:rPr>
          <w:color w:val="000000" w:themeColor="text1"/>
          <w:szCs w:val="22"/>
        </w:rPr>
        <w:t>5</w:t>
      </w:r>
      <w:r w:rsidR="00BC0E14" w:rsidRPr="007F5D57">
        <w:rPr>
          <w:color w:val="000000" w:themeColor="text1"/>
          <w:szCs w:val="22"/>
        </w:rPr>
        <w:t>.</w:t>
      </w:r>
      <w:r w:rsidR="003639D8" w:rsidRPr="007F5D57">
        <w:rPr>
          <w:color w:val="000000" w:themeColor="text1"/>
          <w:szCs w:val="22"/>
        </w:rPr>
        <w:t xml:space="preserve"> </w:t>
      </w:r>
      <w:r w:rsidR="00BC0E14" w:rsidRPr="007F5D57">
        <w:rPr>
          <w:color w:val="000000" w:themeColor="text1"/>
          <w:szCs w:val="22"/>
        </w:rPr>
        <w:t xml:space="preserve">In general, larger </w:t>
      </w:r>
      <w:r w:rsidR="00BC0E14">
        <w:rPr>
          <w:color w:val="000000" w:themeColor="text1"/>
          <w:szCs w:val="22"/>
        </w:rPr>
        <w:t>sites</w:t>
      </w:r>
      <w:r w:rsidR="00BC0E14" w:rsidRPr="007F5D57">
        <w:rPr>
          <w:color w:val="000000" w:themeColor="text1"/>
          <w:szCs w:val="22"/>
        </w:rPr>
        <w:t xml:space="preserve"> are more valuable.</w:t>
      </w:r>
      <w:r w:rsidR="003639D8" w:rsidRPr="007F5D57">
        <w:rPr>
          <w:color w:val="000000" w:themeColor="text1"/>
          <w:szCs w:val="22"/>
        </w:rPr>
        <w:t xml:space="preserve"> </w:t>
      </w:r>
      <w:r w:rsidRPr="007F5D57">
        <w:rPr>
          <w:color w:val="000000" w:themeColor="text1"/>
          <w:szCs w:val="22"/>
        </w:rPr>
        <w:t>This aligns with the intuitive understanding that larger areas command higher prices while keeping other factors constant.</w:t>
      </w:r>
      <w:r w:rsidR="003639D8" w:rsidRPr="007F5D57">
        <w:rPr>
          <w:color w:val="000000" w:themeColor="text1"/>
          <w:szCs w:val="22"/>
        </w:rPr>
        <w:t xml:space="preserve"> </w:t>
      </w:r>
      <w:r w:rsidR="00BC0E14" w:rsidRPr="007F5D57">
        <w:rPr>
          <w:color w:val="000000" w:themeColor="text1"/>
          <w:szCs w:val="22"/>
        </w:rPr>
        <w:t>A positive coefficient of 0.0</w:t>
      </w:r>
      <w:r w:rsidR="00BC0E14">
        <w:rPr>
          <w:color w:val="000000" w:themeColor="text1"/>
          <w:szCs w:val="22"/>
        </w:rPr>
        <w:t>9</w:t>
      </w:r>
      <w:r w:rsidR="00BC0E14" w:rsidRPr="007F5D57">
        <w:rPr>
          <w:color w:val="000000" w:themeColor="text1"/>
          <w:szCs w:val="22"/>
        </w:rPr>
        <w:t>9 indicates that proximity to megaprojects has a positive effect on land value.</w:t>
      </w:r>
      <w:r w:rsidR="003639D8" w:rsidRPr="007F5D57">
        <w:rPr>
          <w:color w:val="000000" w:themeColor="text1"/>
          <w:szCs w:val="22"/>
        </w:rPr>
        <w:t xml:space="preserve"> This supports the hypothesis that the state capitalises on these projects through increased land value uplift in the immediate vicinity. </w:t>
      </w:r>
      <w:r w:rsidRPr="007F5D57">
        <w:rPr>
          <w:color w:val="000000" w:themeColor="text1"/>
          <w:szCs w:val="22"/>
        </w:rPr>
        <w:t>Properties within 400 m of the project showed a 0.049 increase in logarithmically transformed valuation.</w:t>
      </w:r>
      <w:r w:rsidR="003639D8" w:rsidRPr="007F5D57">
        <w:rPr>
          <w:color w:val="000000" w:themeColor="text1"/>
          <w:szCs w:val="22"/>
        </w:rPr>
        <w:t xml:space="preserve"> </w:t>
      </w:r>
      <w:r w:rsidR="00BC0E14" w:rsidRPr="007F5D57">
        <w:rPr>
          <w:color w:val="000000" w:themeColor="text1"/>
          <w:szCs w:val="22"/>
        </w:rPr>
        <w:t>The modest positive coefficient of 0.0</w:t>
      </w:r>
      <w:r w:rsidR="00BC0E14">
        <w:rPr>
          <w:color w:val="000000" w:themeColor="text1"/>
          <w:szCs w:val="22"/>
        </w:rPr>
        <w:t>87</w:t>
      </w:r>
      <w:r w:rsidR="00BC0E14" w:rsidRPr="007F5D57">
        <w:rPr>
          <w:color w:val="000000" w:themeColor="text1"/>
          <w:szCs w:val="22"/>
        </w:rPr>
        <w:t xml:space="preserve"> suggests that properties located at a moderate distance from the project benefit, albeit to a lesser extent.</w:t>
      </w:r>
      <w:r w:rsidR="003639D8" w:rsidRPr="007F5D57">
        <w:rPr>
          <w:color w:val="000000" w:themeColor="text1"/>
          <w:szCs w:val="22"/>
        </w:rPr>
        <w:t xml:space="preserve"> </w:t>
      </w:r>
      <w:r w:rsidR="00BC0E14" w:rsidRPr="007F5D57">
        <w:rPr>
          <w:color w:val="000000" w:themeColor="text1"/>
          <w:szCs w:val="22"/>
        </w:rPr>
        <w:t>A modest increase of 0.0</w:t>
      </w:r>
      <w:r w:rsidR="00BC0E14">
        <w:rPr>
          <w:color w:val="000000" w:themeColor="text1"/>
          <w:szCs w:val="22"/>
        </w:rPr>
        <w:t>87</w:t>
      </w:r>
      <w:r w:rsidR="00BC0E14" w:rsidRPr="007F5D57">
        <w:rPr>
          <w:color w:val="000000" w:themeColor="text1"/>
          <w:szCs w:val="22"/>
        </w:rPr>
        <w:t xml:space="preserve"> in the logarithmic transformation valuation was observed for properties located between 400 and 800 m from the project.</w:t>
      </w:r>
      <w:r w:rsidR="003639D8" w:rsidRPr="007F5D57">
        <w:rPr>
          <w:color w:val="000000" w:themeColor="text1"/>
          <w:szCs w:val="22"/>
        </w:rPr>
        <w:t xml:space="preserve"> </w:t>
      </w:r>
      <w:r w:rsidRPr="007F5D57">
        <w:rPr>
          <w:color w:val="000000" w:themeColor="text1"/>
          <w:szCs w:val="22"/>
        </w:rPr>
        <w:t>The model did not explain land valuations beyond 800m.</w:t>
      </w:r>
      <w:r w:rsidR="003639D8" w:rsidRPr="007F5D57">
        <w:rPr>
          <w:color w:val="000000" w:themeColor="text1"/>
          <w:szCs w:val="22"/>
        </w:rPr>
        <w:t xml:space="preserve"> </w:t>
      </w:r>
      <w:r w:rsidRPr="007F5D57">
        <w:rPr>
          <w:color w:val="000000" w:themeColor="text1"/>
          <w:szCs w:val="22"/>
        </w:rPr>
        <w:t>This might be due to the limited effect of the project during the construction stage owing to decreased connectivity.</w:t>
      </w:r>
      <w:r w:rsidR="003639D8" w:rsidRPr="007F5D57">
        <w:rPr>
          <w:color w:val="000000" w:themeColor="text1"/>
          <w:szCs w:val="22"/>
        </w:rPr>
        <w:t xml:space="preserve"> </w:t>
      </w:r>
      <w:r w:rsidRPr="007F5D57">
        <w:rPr>
          <w:color w:val="000000" w:themeColor="text1"/>
          <w:szCs w:val="22"/>
        </w:rPr>
        <w:t>The negative coefficient of -0.085 for properties within the precinct is counterintuitive.</w:t>
      </w:r>
      <w:r w:rsidR="003639D8" w:rsidRPr="007F5D57">
        <w:rPr>
          <w:color w:val="000000" w:themeColor="text1"/>
          <w:szCs w:val="22"/>
        </w:rPr>
        <w:t xml:space="preserve"> </w:t>
      </w:r>
      <w:r w:rsidRPr="007F5D57">
        <w:rPr>
          <w:color w:val="000000" w:themeColor="text1"/>
          <w:szCs w:val="22"/>
        </w:rPr>
        <w:t>Properties within the precinct may be more valuable.</w:t>
      </w:r>
      <w:r w:rsidR="003639D8" w:rsidRPr="007F5D57">
        <w:rPr>
          <w:color w:val="000000" w:themeColor="text1"/>
          <w:szCs w:val="22"/>
        </w:rPr>
        <w:t xml:space="preserve"> </w:t>
      </w:r>
      <w:r w:rsidRPr="007F5D57">
        <w:rPr>
          <w:color w:val="000000" w:themeColor="text1"/>
          <w:szCs w:val="22"/>
        </w:rPr>
        <w:t>This could imply that other factors, possibly not included in the model, affected valuations within the precinct.</w:t>
      </w:r>
      <w:r w:rsidR="003639D8" w:rsidRPr="007F5D57">
        <w:rPr>
          <w:color w:val="000000" w:themeColor="text1"/>
          <w:szCs w:val="22"/>
        </w:rPr>
        <w:t xml:space="preserve"> </w:t>
      </w:r>
      <w:r w:rsidRPr="007F5D57">
        <w:rPr>
          <w:color w:val="000000" w:themeColor="text1"/>
          <w:szCs w:val="22"/>
        </w:rPr>
        <w:t>Being within the precinct is associated with a -0.085 decrease in the log-transformed valuation, suggesting a slightly negative impact.</w:t>
      </w:r>
      <w:r w:rsidR="00E63498" w:rsidRPr="007F5D57">
        <w:rPr>
          <w:color w:val="000000" w:themeColor="text1"/>
          <w:szCs w:val="22"/>
        </w:rPr>
        <w:t xml:space="preserve"> </w:t>
      </w:r>
      <w:r w:rsidR="00FA3846" w:rsidRPr="007F5D57">
        <w:rPr>
          <w:color w:val="000000" w:themeColor="text1"/>
          <w:szCs w:val="22"/>
        </w:rPr>
        <w:t xml:space="preserve">Table </w:t>
      </w:r>
      <w:r w:rsidR="00FA3846">
        <w:rPr>
          <w:color w:val="000000" w:themeColor="text1"/>
          <w:szCs w:val="22"/>
        </w:rPr>
        <w:t>3</w:t>
      </w:r>
      <w:r w:rsidR="00FA3846" w:rsidRPr="007F5D57">
        <w:rPr>
          <w:color w:val="000000" w:themeColor="text1"/>
          <w:szCs w:val="22"/>
        </w:rPr>
        <w:t xml:space="preserve"> presents a detailed Regression Summary of the model.</w:t>
      </w:r>
    </w:p>
    <w:p w14:paraId="6BB1E7F9" w14:textId="479D9633" w:rsidR="00BA473B" w:rsidRPr="007F5D57" w:rsidRDefault="00BA473B" w:rsidP="007F5D57">
      <w:pPr>
        <w:pStyle w:val="Caption"/>
        <w:keepNext/>
        <w:rPr>
          <w:sz w:val="20"/>
        </w:rPr>
      </w:pPr>
      <w:r w:rsidRPr="007F5D57">
        <w:rPr>
          <w:sz w:val="20"/>
        </w:rPr>
        <w:t xml:space="preserve">Table </w:t>
      </w:r>
      <w:r w:rsidR="003605E1">
        <w:rPr>
          <w:sz w:val="20"/>
        </w:rPr>
        <w:t>3</w:t>
      </w:r>
      <w:r w:rsidRPr="007F5D57">
        <w:rPr>
          <w:sz w:val="20"/>
        </w:rPr>
        <w:t xml:space="preserve"> Regression Output</w:t>
      </w:r>
    </w:p>
    <w:tbl>
      <w:tblPr>
        <w:tblW w:w="9638" w:type="dxa"/>
        <w:tblLook w:val="04A0" w:firstRow="1" w:lastRow="0" w:firstColumn="1" w:lastColumn="0" w:noHBand="0" w:noVBand="1"/>
      </w:tblPr>
      <w:tblGrid>
        <w:gridCol w:w="2497"/>
        <w:gridCol w:w="3032"/>
        <w:gridCol w:w="4109"/>
      </w:tblGrid>
      <w:tr w:rsidR="00BA473B" w:rsidRPr="005455A9" w14:paraId="56DCBA71" w14:textId="5FAD686E" w:rsidTr="007F5D57">
        <w:trPr>
          <w:trHeight w:val="320"/>
        </w:trPr>
        <w:tc>
          <w:tcPr>
            <w:tcW w:w="2497" w:type="dxa"/>
            <w:tcBorders>
              <w:top w:val="single" w:sz="4" w:space="0" w:color="auto"/>
              <w:left w:val="nil"/>
              <w:bottom w:val="single" w:sz="4" w:space="0" w:color="auto"/>
              <w:right w:val="nil"/>
            </w:tcBorders>
            <w:shd w:val="clear" w:color="auto" w:fill="auto"/>
            <w:noWrap/>
            <w:vAlign w:val="center"/>
            <w:hideMark/>
          </w:tcPr>
          <w:p w14:paraId="1798683D" w14:textId="77777777" w:rsidR="00BA473B" w:rsidRPr="0063349C" w:rsidRDefault="00BA473B" w:rsidP="005455A9">
            <w:pPr>
              <w:rPr>
                <w:b/>
                <w:bCs/>
                <w:color w:val="000000"/>
                <w:sz w:val="20"/>
                <w:szCs w:val="20"/>
              </w:rPr>
            </w:pPr>
            <w:r w:rsidRPr="0063349C">
              <w:rPr>
                <w:b/>
                <w:bCs/>
                <w:color w:val="000000"/>
                <w:sz w:val="20"/>
                <w:szCs w:val="20"/>
              </w:rPr>
              <w:t>Dependent Variable</w:t>
            </w:r>
          </w:p>
        </w:tc>
        <w:tc>
          <w:tcPr>
            <w:tcW w:w="3032" w:type="dxa"/>
            <w:tcBorders>
              <w:top w:val="nil"/>
              <w:left w:val="nil"/>
              <w:bottom w:val="nil"/>
              <w:right w:val="nil"/>
            </w:tcBorders>
            <w:shd w:val="clear" w:color="auto" w:fill="auto"/>
            <w:noWrap/>
            <w:vAlign w:val="bottom"/>
            <w:hideMark/>
          </w:tcPr>
          <w:p w14:paraId="4CE3B67D" w14:textId="77777777" w:rsidR="00BA473B" w:rsidRPr="0063349C" w:rsidRDefault="00BA473B" w:rsidP="005455A9">
            <w:pPr>
              <w:rPr>
                <w:b/>
                <w:bCs/>
                <w:color w:val="000000"/>
                <w:sz w:val="20"/>
                <w:szCs w:val="20"/>
              </w:rPr>
            </w:pPr>
          </w:p>
        </w:tc>
        <w:tc>
          <w:tcPr>
            <w:tcW w:w="4109" w:type="dxa"/>
            <w:tcBorders>
              <w:top w:val="nil"/>
              <w:left w:val="nil"/>
              <w:bottom w:val="nil"/>
              <w:right w:val="nil"/>
            </w:tcBorders>
          </w:tcPr>
          <w:p w14:paraId="1A8C1B2E" w14:textId="77777777" w:rsidR="00BA473B" w:rsidRPr="0063349C" w:rsidRDefault="00BA473B" w:rsidP="005455A9">
            <w:pPr>
              <w:rPr>
                <w:b/>
                <w:bCs/>
                <w:color w:val="000000"/>
                <w:sz w:val="20"/>
                <w:szCs w:val="20"/>
              </w:rPr>
            </w:pPr>
          </w:p>
        </w:tc>
      </w:tr>
      <w:tr w:rsidR="00BA473B" w:rsidRPr="005455A9" w14:paraId="6EE4CF63" w14:textId="0BFB77AD" w:rsidTr="007F5D57">
        <w:trPr>
          <w:trHeight w:val="320"/>
        </w:trPr>
        <w:tc>
          <w:tcPr>
            <w:tcW w:w="2497" w:type="dxa"/>
            <w:tcBorders>
              <w:top w:val="nil"/>
              <w:left w:val="nil"/>
              <w:bottom w:val="nil"/>
              <w:right w:val="nil"/>
            </w:tcBorders>
            <w:shd w:val="clear" w:color="auto" w:fill="auto"/>
            <w:noWrap/>
            <w:vAlign w:val="center"/>
            <w:hideMark/>
          </w:tcPr>
          <w:p w14:paraId="6CE96381" w14:textId="74115235" w:rsidR="00BA473B" w:rsidRPr="0063349C" w:rsidRDefault="00BA473B" w:rsidP="00BA473B">
            <w:pPr>
              <w:rPr>
                <w:color w:val="000000"/>
                <w:sz w:val="20"/>
                <w:szCs w:val="20"/>
              </w:rPr>
            </w:pPr>
            <w:r w:rsidRPr="0063349C">
              <w:rPr>
                <w:color w:val="000000"/>
                <w:sz w:val="20"/>
                <w:szCs w:val="20"/>
              </w:rPr>
              <w:t>Ln(Current Valuation (A$))</w:t>
            </w:r>
          </w:p>
        </w:tc>
        <w:tc>
          <w:tcPr>
            <w:tcW w:w="3032" w:type="dxa"/>
            <w:tcBorders>
              <w:top w:val="nil"/>
              <w:left w:val="nil"/>
              <w:bottom w:val="nil"/>
              <w:right w:val="nil"/>
            </w:tcBorders>
            <w:shd w:val="clear" w:color="auto" w:fill="auto"/>
            <w:noWrap/>
            <w:vAlign w:val="bottom"/>
            <w:hideMark/>
          </w:tcPr>
          <w:p w14:paraId="509B3FA0" w14:textId="77777777" w:rsidR="00BA473B" w:rsidRPr="0063349C" w:rsidRDefault="00BA473B" w:rsidP="00BA473B">
            <w:pPr>
              <w:rPr>
                <w:color w:val="000000"/>
                <w:sz w:val="20"/>
                <w:szCs w:val="20"/>
              </w:rPr>
            </w:pPr>
          </w:p>
        </w:tc>
        <w:tc>
          <w:tcPr>
            <w:tcW w:w="4109" w:type="dxa"/>
            <w:tcBorders>
              <w:top w:val="nil"/>
              <w:left w:val="nil"/>
              <w:bottom w:val="nil"/>
              <w:right w:val="nil"/>
            </w:tcBorders>
            <w:vAlign w:val="bottom"/>
          </w:tcPr>
          <w:p w14:paraId="492AD1A8" w14:textId="352907A7" w:rsidR="00BA473B" w:rsidRPr="0063349C" w:rsidRDefault="00BA473B" w:rsidP="00BA473B">
            <w:pPr>
              <w:rPr>
                <w:color w:val="000000"/>
                <w:sz w:val="20"/>
                <w:szCs w:val="20"/>
              </w:rPr>
            </w:pPr>
            <w:r w:rsidRPr="005455A9">
              <w:rPr>
                <w:color w:val="000000"/>
                <w:sz w:val="20"/>
                <w:szCs w:val="20"/>
              </w:rPr>
              <w:t>This variable represents the value of the land, which we aim to explain.</w:t>
            </w:r>
          </w:p>
        </w:tc>
      </w:tr>
      <w:tr w:rsidR="00BA473B" w:rsidRPr="005455A9" w14:paraId="4458E887" w14:textId="0ABA0183" w:rsidTr="007F5D57">
        <w:trPr>
          <w:trHeight w:val="320"/>
        </w:trPr>
        <w:tc>
          <w:tcPr>
            <w:tcW w:w="2497" w:type="dxa"/>
            <w:tcBorders>
              <w:top w:val="single" w:sz="4" w:space="0" w:color="auto"/>
              <w:left w:val="nil"/>
              <w:bottom w:val="single" w:sz="4" w:space="0" w:color="auto"/>
              <w:right w:val="nil"/>
            </w:tcBorders>
            <w:shd w:val="clear" w:color="auto" w:fill="auto"/>
            <w:noWrap/>
            <w:vAlign w:val="center"/>
            <w:hideMark/>
          </w:tcPr>
          <w:p w14:paraId="5AF5093E" w14:textId="77777777" w:rsidR="00BA473B" w:rsidRPr="0063349C" w:rsidRDefault="00BA473B" w:rsidP="00BA473B">
            <w:pPr>
              <w:rPr>
                <w:b/>
                <w:bCs/>
                <w:color w:val="000000"/>
                <w:sz w:val="20"/>
                <w:szCs w:val="20"/>
              </w:rPr>
            </w:pPr>
            <w:r w:rsidRPr="0063349C">
              <w:rPr>
                <w:b/>
                <w:bCs/>
                <w:color w:val="000000"/>
                <w:sz w:val="20"/>
                <w:szCs w:val="20"/>
              </w:rPr>
              <w:t>Independent variables:</w:t>
            </w:r>
          </w:p>
        </w:tc>
        <w:tc>
          <w:tcPr>
            <w:tcW w:w="3032" w:type="dxa"/>
            <w:tcBorders>
              <w:top w:val="nil"/>
              <w:left w:val="nil"/>
              <w:bottom w:val="nil"/>
              <w:right w:val="nil"/>
            </w:tcBorders>
            <w:shd w:val="clear" w:color="auto" w:fill="auto"/>
            <w:noWrap/>
            <w:vAlign w:val="bottom"/>
            <w:hideMark/>
          </w:tcPr>
          <w:p w14:paraId="0570682B" w14:textId="77777777" w:rsidR="00BA473B" w:rsidRPr="0063349C" w:rsidRDefault="00BA473B" w:rsidP="00BA473B">
            <w:pPr>
              <w:rPr>
                <w:b/>
                <w:bCs/>
                <w:color w:val="000000"/>
                <w:sz w:val="20"/>
                <w:szCs w:val="20"/>
              </w:rPr>
            </w:pPr>
          </w:p>
        </w:tc>
        <w:tc>
          <w:tcPr>
            <w:tcW w:w="4109" w:type="dxa"/>
            <w:tcBorders>
              <w:top w:val="nil"/>
              <w:left w:val="nil"/>
              <w:bottom w:val="nil"/>
              <w:right w:val="nil"/>
            </w:tcBorders>
          </w:tcPr>
          <w:p w14:paraId="1CD8AC26" w14:textId="77777777" w:rsidR="00BA473B" w:rsidRPr="0063349C" w:rsidRDefault="00BA473B" w:rsidP="00BA473B">
            <w:pPr>
              <w:rPr>
                <w:b/>
                <w:bCs/>
                <w:color w:val="000000"/>
                <w:sz w:val="20"/>
                <w:szCs w:val="20"/>
              </w:rPr>
            </w:pPr>
          </w:p>
        </w:tc>
      </w:tr>
      <w:tr w:rsidR="00BA473B" w:rsidRPr="005455A9" w14:paraId="739148B8" w14:textId="3F50F211" w:rsidTr="007F5D57">
        <w:trPr>
          <w:trHeight w:val="320"/>
        </w:trPr>
        <w:tc>
          <w:tcPr>
            <w:tcW w:w="2497" w:type="dxa"/>
            <w:tcBorders>
              <w:top w:val="nil"/>
              <w:left w:val="nil"/>
              <w:bottom w:val="nil"/>
              <w:right w:val="nil"/>
            </w:tcBorders>
            <w:shd w:val="clear" w:color="auto" w:fill="auto"/>
            <w:noWrap/>
            <w:vAlign w:val="center"/>
            <w:hideMark/>
          </w:tcPr>
          <w:p w14:paraId="21DD51A5" w14:textId="77777777" w:rsidR="00BA473B" w:rsidRPr="0063349C" w:rsidRDefault="00BA473B" w:rsidP="00BA473B">
            <w:pPr>
              <w:rPr>
                <w:color w:val="000000"/>
                <w:sz w:val="20"/>
                <w:szCs w:val="20"/>
              </w:rPr>
            </w:pPr>
            <w:r w:rsidRPr="0063349C">
              <w:rPr>
                <w:color w:val="000000"/>
                <w:sz w:val="20"/>
                <w:szCs w:val="20"/>
              </w:rPr>
              <w:t>Constant</w:t>
            </w:r>
          </w:p>
        </w:tc>
        <w:tc>
          <w:tcPr>
            <w:tcW w:w="3032" w:type="dxa"/>
            <w:tcBorders>
              <w:top w:val="nil"/>
              <w:left w:val="nil"/>
              <w:bottom w:val="nil"/>
              <w:right w:val="nil"/>
            </w:tcBorders>
            <w:shd w:val="clear" w:color="auto" w:fill="auto"/>
            <w:noWrap/>
            <w:vAlign w:val="bottom"/>
            <w:hideMark/>
          </w:tcPr>
          <w:p w14:paraId="4291EF2C" w14:textId="77777777" w:rsidR="00BA473B" w:rsidRPr="0063349C" w:rsidRDefault="00BA473B" w:rsidP="00BA473B">
            <w:pPr>
              <w:rPr>
                <w:color w:val="000000"/>
                <w:sz w:val="20"/>
                <w:szCs w:val="20"/>
              </w:rPr>
            </w:pPr>
            <w:r w:rsidRPr="0063349C">
              <w:rPr>
                <w:color w:val="000000"/>
                <w:sz w:val="20"/>
                <w:szCs w:val="20"/>
              </w:rPr>
              <w:t>0.000 (0.032)</w:t>
            </w:r>
          </w:p>
        </w:tc>
        <w:tc>
          <w:tcPr>
            <w:tcW w:w="4109" w:type="dxa"/>
            <w:tcBorders>
              <w:top w:val="nil"/>
              <w:left w:val="nil"/>
              <w:bottom w:val="nil"/>
              <w:right w:val="nil"/>
            </w:tcBorders>
          </w:tcPr>
          <w:p w14:paraId="1F633BDD" w14:textId="77777777" w:rsidR="00BA473B" w:rsidRPr="0063349C" w:rsidRDefault="00BA473B" w:rsidP="00BA473B">
            <w:pPr>
              <w:rPr>
                <w:color w:val="000000"/>
                <w:sz w:val="20"/>
                <w:szCs w:val="20"/>
              </w:rPr>
            </w:pPr>
          </w:p>
        </w:tc>
      </w:tr>
      <w:tr w:rsidR="00BA473B" w:rsidRPr="005455A9" w14:paraId="5F31B643" w14:textId="3CFC3DEA" w:rsidTr="007F5D57">
        <w:trPr>
          <w:trHeight w:val="320"/>
        </w:trPr>
        <w:tc>
          <w:tcPr>
            <w:tcW w:w="2497" w:type="dxa"/>
            <w:tcBorders>
              <w:top w:val="nil"/>
              <w:left w:val="nil"/>
              <w:bottom w:val="nil"/>
              <w:right w:val="nil"/>
            </w:tcBorders>
            <w:shd w:val="clear" w:color="auto" w:fill="auto"/>
            <w:noWrap/>
            <w:vAlign w:val="center"/>
            <w:hideMark/>
          </w:tcPr>
          <w:p w14:paraId="279F9D9A" w14:textId="77777777" w:rsidR="00BA473B" w:rsidRPr="0063349C" w:rsidRDefault="00BA473B" w:rsidP="00BA473B">
            <w:pPr>
              <w:rPr>
                <w:color w:val="000000"/>
                <w:sz w:val="20"/>
                <w:szCs w:val="20"/>
              </w:rPr>
            </w:pPr>
            <w:r w:rsidRPr="0063349C">
              <w:rPr>
                <w:color w:val="000000"/>
                <w:sz w:val="20"/>
                <w:szCs w:val="20"/>
              </w:rPr>
              <w:t>Property area</w:t>
            </w:r>
          </w:p>
        </w:tc>
        <w:tc>
          <w:tcPr>
            <w:tcW w:w="3032" w:type="dxa"/>
            <w:tcBorders>
              <w:top w:val="nil"/>
              <w:left w:val="nil"/>
              <w:bottom w:val="nil"/>
              <w:right w:val="nil"/>
            </w:tcBorders>
            <w:shd w:val="clear" w:color="auto" w:fill="auto"/>
            <w:noWrap/>
            <w:vAlign w:val="bottom"/>
            <w:hideMark/>
          </w:tcPr>
          <w:p w14:paraId="316DDFDC" w14:textId="77777777" w:rsidR="00BA473B" w:rsidRPr="0063349C" w:rsidRDefault="00BA473B" w:rsidP="00BA473B">
            <w:pPr>
              <w:rPr>
                <w:color w:val="000000"/>
                <w:sz w:val="20"/>
                <w:szCs w:val="20"/>
              </w:rPr>
            </w:pPr>
            <w:r w:rsidRPr="0063349C">
              <w:rPr>
                <w:color w:val="000000"/>
                <w:sz w:val="20"/>
                <w:szCs w:val="20"/>
              </w:rPr>
              <w:t>0.552***</w:t>
            </w:r>
          </w:p>
        </w:tc>
        <w:tc>
          <w:tcPr>
            <w:tcW w:w="4109" w:type="dxa"/>
            <w:tcBorders>
              <w:top w:val="nil"/>
              <w:left w:val="nil"/>
              <w:bottom w:val="nil"/>
              <w:right w:val="nil"/>
            </w:tcBorders>
          </w:tcPr>
          <w:p w14:paraId="33E00F6D" w14:textId="54079443" w:rsidR="00BA473B" w:rsidRPr="0063349C" w:rsidRDefault="00BA473B" w:rsidP="00BA473B">
            <w:pPr>
              <w:rPr>
                <w:color w:val="000000"/>
                <w:sz w:val="20"/>
                <w:szCs w:val="20"/>
              </w:rPr>
            </w:pPr>
            <w:r w:rsidRPr="005455A9">
              <w:rPr>
                <w:color w:val="000000"/>
                <w:sz w:val="20"/>
                <w:szCs w:val="20"/>
              </w:rPr>
              <w:t>The size of the property is a natural factor that affects its value.</w:t>
            </w:r>
          </w:p>
        </w:tc>
      </w:tr>
      <w:tr w:rsidR="00BA473B" w:rsidRPr="005455A9" w14:paraId="62C438E2" w14:textId="35BCA523" w:rsidTr="007F5D57">
        <w:trPr>
          <w:trHeight w:val="320"/>
        </w:trPr>
        <w:tc>
          <w:tcPr>
            <w:tcW w:w="2497" w:type="dxa"/>
            <w:tcBorders>
              <w:top w:val="nil"/>
              <w:left w:val="nil"/>
              <w:bottom w:val="nil"/>
              <w:right w:val="nil"/>
            </w:tcBorders>
            <w:shd w:val="clear" w:color="auto" w:fill="auto"/>
            <w:noWrap/>
            <w:vAlign w:val="center"/>
            <w:hideMark/>
          </w:tcPr>
          <w:p w14:paraId="112A2327" w14:textId="77777777" w:rsidR="00BA473B" w:rsidRPr="0063349C" w:rsidRDefault="00BA473B" w:rsidP="00BA473B">
            <w:pPr>
              <w:rPr>
                <w:color w:val="000000"/>
                <w:sz w:val="20"/>
                <w:szCs w:val="20"/>
              </w:rPr>
            </w:pPr>
            <w:r w:rsidRPr="0063349C">
              <w:rPr>
                <w:color w:val="000000"/>
                <w:sz w:val="20"/>
                <w:szCs w:val="20"/>
              </w:rPr>
              <w:t>WithinPrecinct</w:t>
            </w:r>
          </w:p>
        </w:tc>
        <w:tc>
          <w:tcPr>
            <w:tcW w:w="3032" w:type="dxa"/>
            <w:tcBorders>
              <w:top w:val="nil"/>
              <w:left w:val="nil"/>
              <w:bottom w:val="nil"/>
              <w:right w:val="nil"/>
            </w:tcBorders>
            <w:shd w:val="clear" w:color="auto" w:fill="auto"/>
            <w:noWrap/>
            <w:vAlign w:val="bottom"/>
            <w:hideMark/>
          </w:tcPr>
          <w:p w14:paraId="1893377B" w14:textId="77777777" w:rsidR="00BA473B" w:rsidRPr="0063349C" w:rsidRDefault="00BA473B" w:rsidP="00BA473B">
            <w:pPr>
              <w:rPr>
                <w:color w:val="000000"/>
                <w:sz w:val="20"/>
                <w:szCs w:val="20"/>
              </w:rPr>
            </w:pPr>
            <w:r w:rsidRPr="0063349C">
              <w:rPr>
                <w:color w:val="000000"/>
                <w:sz w:val="20"/>
                <w:szCs w:val="20"/>
              </w:rPr>
              <w:t>-0.091**</w:t>
            </w:r>
          </w:p>
        </w:tc>
        <w:tc>
          <w:tcPr>
            <w:tcW w:w="4109" w:type="dxa"/>
            <w:tcBorders>
              <w:top w:val="nil"/>
              <w:left w:val="nil"/>
              <w:bottom w:val="nil"/>
              <w:right w:val="nil"/>
            </w:tcBorders>
          </w:tcPr>
          <w:p w14:paraId="2117EFB5" w14:textId="22681F69" w:rsidR="00BA473B" w:rsidRPr="0063349C" w:rsidRDefault="00BA473B" w:rsidP="00BA473B">
            <w:pPr>
              <w:rPr>
                <w:color w:val="000000"/>
                <w:sz w:val="20"/>
                <w:szCs w:val="20"/>
              </w:rPr>
            </w:pPr>
            <w:r w:rsidRPr="005455A9">
              <w:rPr>
                <w:color w:val="000000"/>
                <w:sz w:val="20"/>
                <w:szCs w:val="20"/>
              </w:rPr>
              <w:t>A binary variable to capture whether the property is within the megaproject's precinct</w:t>
            </w:r>
          </w:p>
        </w:tc>
      </w:tr>
      <w:tr w:rsidR="00BA473B" w:rsidRPr="005455A9" w14:paraId="33E0C06D" w14:textId="2E53AAE0" w:rsidTr="007F5D57">
        <w:trPr>
          <w:trHeight w:val="320"/>
        </w:trPr>
        <w:tc>
          <w:tcPr>
            <w:tcW w:w="2497" w:type="dxa"/>
            <w:tcBorders>
              <w:top w:val="nil"/>
              <w:left w:val="nil"/>
              <w:bottom w:val="nil"/>
              <w:right w:val="nil"/>
            </w:tcBorders>
            <w:shd w:val="clear" w:color="auto" w:fill="auto"/>
            <w:noWrap/>
            <w:vAlign w:val="center"/>
            <w:hideMark/>
          </w:tcPr>
          <w:p w14:paraId="1CC70FB8" w14:textId="77777777" w:rsidR="00BA473B" w:rsidRPr="0063349C" w:rsidRDefault="00BA473B" w:rsidP="00BA473B">
            <w:pPr>
              <w:rPr>
                <w:color w:val="000000"/>
                <w:sz w:val="20"/>
                <w:szCs w:val="20"/>
              </w:rPr>
            </w:pPr>
            <w:r w:rsidRPr="0063349C">
              <w:rPr>
                <w:color w:val="000000"/>
                <w:sz w:val="20"/>
                <w:szCs w:val="20"/>
              </w:rPr>
              <w:t>Within 400 m</w:t>
            </w:r>
          </w:p>
        </w:tc>
        <w:tc>
          <w:tcPr>
            <w:tcW w:w="3032" w:type="dxa"/>
            <w:tcBorders>
              <w:top w:val="nil"/>
              <w:left w:val="nil"/>
              <w:bottom w:val="nil"/>
              <w:right w:val="nil"/>
            </w:tcBorders>
            <w:shd w:val="clear" w:color="auto" w:fill="auto"/>
            <w:noWrap/>
            <w:vAlign w:val="bottom"/>
            <w:hideMark/>
          </w:tcPr>
          <w:p w14:paraId="1BB2C29D" w14:textId="77777777" w:rsidR="00BA473B" w:rsidRPr="0063349C" w:rsidRDefault="00BA473B" w:rsidP="00BA473B">
            <w:pPr>
              <w:rPr>
                <w:color w:val="000000"/>
                <w:sz w:val="20"/>
                <w:szCs w:val="20"/>
              </w:rPr>
            </w:pPr>
            <w:r w:rsidRPr="0063349C">
              <w:rPr>
                <w:color w:val="000000"/>
                <w:sz w:val="20"/>
                <w:szCs w:val="20"/>
              </w:rPr>
              <w:t>0.099**</w:t>
            </w:r>
          </w:p>
        </w:tc>
        <w:tc>
          <w:tcPr>
            <w:tcW w:w="4109" w:type="dxa"/>
            <w:tcBorders>
              <w:top w:val="nil"/>
              <w:left w:val="nil"/>
              <w:bottom w:val="nil"/>
              <w:right w:val="nil"/>
            </w:tcBorders>
          </w:tcPr>
          <w:p w14:paraId="5ACF2F16" w14:textId="0E37C7FA" w:rsidR="00BA473B" w:rsidRPr="0063349C" w:rsidRDefault="00BA473B" w:rsidP="00BA473B">
            <w:pPr>
              <w:rPr>
                <w:color w:val="000000"/>
                <w:sz w:val="20"/>
                <w:szCs w:val="20"/>
              </w:rPr>
            </w:pPr>
            <w:r w:rsidRPr="005455A9">
              <w:rPr>
                <w:color w:val="000000"/>
                <w:sz w:val="20"/>
                <w:szCs w:val="20"/>
              </w:rPr>
              <w:t>Variable to capture the concentric ring effect on valuation</w:t>
            </w:r>
          </w:p>
        </w:tc>
      </w:tr>
      <w:tr w:rsidR="00BA473B" w:rsidRPr="005455A9" w14:paraId="5EF5EA66" w14:textId="594E456B" w:rsidTr="007F5D57">
        <w:trPr>
          <w:trHeight w:val="320"/>
        </w:trPr>
        <w:tc>
          <w:tcPr>
            <w:tcW w:w="2497" w:type="dxa"/>
            <w:tcBorders>
              <w:top w:val="nil"/>
              <w:left w:val="nil"/>
              <w:bottom w:val="nil"/>
              <w:right w:val="nil"/>
            </w:tcBorders>
            <w:shd w:val="clear" w:color="auto" w:fill="auto"/>
            <w:noWrap/>
            <w:vAlign w:val="center"/>
            <w:hideMark/>
          </w:tcPr>
          <w:p w14:paraId="5042E2B3" w14:textId="77777777" w:rsidR="00BA473B" w:rsidRPr="0063349C" w:rsidRDefault="00BA473B" w:rsidP="00BA473B">
            <w:pPr>
              <w:rPr>
                <w:color w:val="000000"/>
                <w:sz w:val="20"/>
                <w:szCs w:val="20"/>
              </w:rPr>
            </w:pPr>
            <w:r w:rsidRPr="0063349C">
              <w:rPr>
                <w:color w:val="000000"/>
                <w:sz w:val="20"/>
                <w:szCs w:val="20"/>
              </w:rPr>
              <w:t>Between_400_800m</w:t>
            </w:r>
          </w:p>
        </w:tc>
        <w:tc>
          <w:tcPr>
            <w:tcW w:w="3032" w:type="dxa"/>
            <w:tcBorders>
              <w:top w:val="nil"/>
              <w:left w:val="nil"/>
              <w:bottom w:val="nil"/>
              <w:right w:val="nil"/>
            </w:tcBorders>
            <w:shd w:val="clear" w:color="auto" w:fill="auto"/>
            <w:noWrap/>
            <w:vAlign w:val="bottom"/>
            <w:hideMark/>
          </w:tcPr>
          <w:p w14:paraId="30FFC359" w14:textId="77777777" w:rsidR="00BA473B" w:rsidRPr="0063349C" w:rsidRDefault="00BA473B" w:rsidP="00BA473B">
            <w:pPr>
              <w:rPr>
                <w:color w:val="000000"/>
                <w:sz w:val="20"/>
                <w:szCs w:val="20"/>
              </w:rPr>
            </w:pPr>
            <w:r w:rsidRPr="0063349C">
              <w:rPr>
                <w:color w:val="000000"/>
                <w:sz w:val="20"/>
                <w:szCs w:val="20"/>
              </w:rPr>
              <w:t>0.087**</w:t>
            </w:r>
          </w:p>
        </w:tc>
        <w:tc>
          <w:tcPr>
            <w:tcW w:w="4109" w:type="dxa"/>
            <w:tcBorders>
              <w:top w:val="nil"/>
              <w:left w:val="nil"/>
              <w:bottom w:val="nil"/>
              <w:right w:val="nil"/>
            </w:tcBorders>
            <w:vAlign w:val="bottom"/>
          </w:tcPr>
          <w:p w14:paraId="2AC9FF53" w14:textId="74FABE63" w:rsidR="00BA473B" w:rsidRPr="0063349C" w:rsidRDefault="00BA473B" w:rsidP="00BA473B">
            <w:pPr>
              <w:rPr>
                <w:color w:val="000000"/>
                <w:sz w:val="20"/>
                <w:szCs w:val="20"/>
              </w:rPr>
            </w:pPr>
            <w:r w:rsidRPr="005455A9">
              <w:rPr>
                <w:color w:val="000000"/>
                <w:sz w:val="20"/>
                <w:szCs w:val="20"/>
              </w:rPr>
              <w:t>Variable to capture the concentric ring effect on valuation</w:t>
            </w:r>
          </w:p>
        </w:tc>
      </w:tr>
      <w:tr w:rsidR="00BA473B" w:rsidRPr="005455A9" w14:paraId="6D617198" w14:textId="2254EABF" w:rsidTr="007F5D57">
        <w:trPr>
          <w:trHeight w:val="320"/>
        </w:trPr>
        <w:tc>
          <w:tcPr>
            <w:tcW w:w="2497" w:type="dxa"/>
            <w:tcBorders>
              <w:top w:val="nil"/>
              <w:left w:val="nil"/>
              <w:bottom w:val="nil"/>
              <w:right w:val="nil"/>
            </w:tcBorders>
            <w:shd w:val="clear" w:color="auto" w:fill="auto"/>
            <w:noWrap/>
            <w:vAlign w:val="center"/>
            <w:hideMark/>
          </w:tcPr>
          <w:p w14:paraId="1B2E2652" w14:textId="77777777" w:rsidR="00BA473B" w:rsidRPr="0063349C" w:rsidRDefault="00BA473B" w:rsidP="00BA473B">
            <w:pPr>
              <w:rPr>
                <w:color w:val="000000"/>
                <w:sz w:val="20"/>
                <w:szCs w:val="20"/>
              </w:rPr>
            </w:pPr>
            <w:r w:rsidRPr="0063349C">
              <w:rPr>
                <w:color w:val="000000"/>
                <w:sz w:val="20"/>
                <w:szCs w:val="20"/>
              </w:rPr>
              <w:t>Above_800_m</w:t>
            </w:r>
          </w:p>
        </w:tc>
        <w:tc>
          <w:tcPr>
            <w:tcW w:w="3032" w:type="dxa"/>
            <w:tcBorders>
              <w:top w:val="nil"/>
              <w:left w:val="nil"/>
              <w:bottom w:val="nil"/>
              <w:right w:val="nil"/>
            </w:tcBorders>
            <w:shd w:val="clear" w:color="auto" w:fill="auto"/>
            <w:noWrap/>
            <w:vAlign w:val="bottom"/>
            <w:hideMark/>
          </w:tcPr>
          <w:p w14:paraId="5480D468" w14:textId="77777777" w:rsidR="00BA473B" w:rsidRPr="0063349C" w:rsidRDefault="00BA473B" w:rsidP="00BA473B">
            <w:pPr>
              <w:rPr>
                <w:color w:val="000000"/>
                <w:sz w:val="20"/>
                <w:szCs w:val="20"/>
              </w:rPr>
            </w:pPr>
          </w:p>
        </w:tc>
        <w:tc>
          <w:tcPr>
            <w:tcW w:w="4109" w:type="dxa"/>
            <w:tcBorders>
              <w:top w:val="nil"/>
              <w:left w:val="nil"/>
              <w:bottom w:val="nil"/>
              <w:right w:val="nil"/>
            </w:tcBorders>
          </w:tcPr>
          <w:p w14:paraId="2EBE61D4" w14:textId="2D4C6BA0" w:rsidR="00BA473B" w:rsidRPr="0063349C" w:rsidRDefault="00BA473B" w:rsidP="00BA473B">
            <w:pPr>
              <w:rPr>
                <w:color w:val="000000"/>
                <w:sz w:val="20"/>
                <w:szCs w:val="20"/>
              </w:rPr>
            </w:pPr>
            <w:r w:rsidRPr="005455A9">
              <w:rPr>
                <w:color w:val="000000"/>
                <w:sz w:val="20"/>
                <w:szCs w:val="20"/>
              </w:rPr>
              <w:t>Variable to capture the concentric ring effect on valuation</w:t>
            </w:r>
          </w:p>
        </w:tc>
      </w:tr>
      <w:tr w:rsidR="00BA473B" w:rsidRPr="005455A9" w14:paraId="026C201B" w14:textId="58BBBD95" w:rsidTr="007F5D57">
        <w:trPr>
          <w:trHeight w:val="320"/>
        </w:trPr>
        <w:tc>
          <w:tcPr>
            <w:tcW w:w="2497" w:type="dxa"/>
            <w:tcBorders>
              <w:top w:val="nil"/>
              <w:left w:val="nil"/>
              <w:bottom w:val="single" w:sz="4" w:space="0" w:color="auto"/>
              <w:right w:val="nil"/>
            </w:tcBorders>
            <w:shd w:val="clear" w:color="auto" w:fill="auto"/>
            <w:noWrap/>
            <w:vAlign w:val="center"/>
            <w:hideMark/>
          </w:tcPr>
          <w:p w14:paraId="4E4FCFED" w14:textId="77777777" w:rsidR="00BA473B" w:rsidRPr="0063349C" w:rsidRDefault="00BA473B" w:rsidP="00BA473B">
            <w:pPr>
              <w:rPr>
                <w:color w:val="000000"/>
                <w:sz w:val="20"/>
                <w:szCs w:val="20"/>
              </w:rPr>
            </w:pPr>
            <w:r w:rsidRPr="0063349C">
              <w:rPr>
                <w:color w:val="000000"/>
                <w:sz w:val="20"/>
                <w:szCs w:val="20"/>
              </w:rPr>
              <w:t>Total lots</w:t>
            </w:r>
          </w:p>
        </w:tc>
        <w:tc>
          <w:tcPr>
            <w:tcW w:w="3032" w:type="dxa"/>
            <w:tcBorders>
              <w:top w:val="nil"/>
              <w:left w:val="nil"/>
              <w:bottom w:val="nil"/>
              <w:right w:val="nil"/>
            </w:tcBorders>
            <w:shd w:val="clear" w:color="auto" w:fill="auto"/>
            <w:noWrap/>
            <w:vAlign w:val="bottom"/>
            <w:hideMark/>
          </w:tcPr>
          <w:p w14:paraId="66E88CBD" w14:textId="77777777" w:rsidR="00BA473B" w:rsidRPr="0063349C" w:rsidRDefault="00BA473B" w:rsidP="00BA473B">
            <w:pPr>
              <w:rPr>
                <w:color w:val="000000"/>
                <w:sz w:val="20"/>
                <w:szCs w:val="20"/>
              </w:rPr>
            </w:pPr>
            <w:r w:rsidRPr="0063349C">
              <w:rPr>
                <w:color w:val="000000"/>
                <w:sz w:val="20"/>
                <w:szCs w:val="20"/>
              </w:rPr>
              <w:t xml:space="preserve">0.115*** </w:t>
            </w:r>
          </w:p>
        </w:tc>
        <w:tc>
          <w:tcPr>
            <w:tcW w:w="4109" w:type="dxa"/>
            <w:tcBorders>
              <w:top w:val="nil"/>
              <w:left w:val="nil"/>
              <w:bottom w:val="nil"/>
              <w:right w:val="nil"/>
            </w:tcBorders>
          </w:tcPr>
          <w:p w14:paraId="3564E67B" w14:textId="2A011035" w:rsidR="00BA473B" w:rsidRPr="0063349C" w:rsidRDefault="00BA473B" w:rsidP="00BA473B">
            <w:pPr>
              <w:rPr>
                <w:color w:val="000000"/>
                <w:sz w:val="20"/>
                <w:szCs w:val="20"/>
              </w:rPr>
            </w:pPr>
            <w:r w:rsidRPr="005455A9">
              <w:rPr>
                <w:color w:val="000000"/>
                <w:sz w:val="20"/>
                <w:szCs w:val="20"/>
              </w:rPr>
              <w:t>The number of lots can be a proxy for the complexity of the property.</w:t>
            </w:r>
          </w:p>
        </w:tc>
      </w:tr>
      <w:tr w:rsidR="00BA473B" w:rsidRPr="005455A9" w14:paraId="59542CF7" w14:textId="7AEABEFE" w:rsidTr="007F5D57">
        <w:trPr>
          <w:trHeight w:val="320"/>
        </w:trPr>
        <w:tc>
          <w:tcPr>
            <w:tcW w:w="2497" w:type="dxa"/>
            <w:tcBorders>
              <w:top w:val="single" w:sz="4" w:space="0" w:color="auto"/>
              <w:left w:val="nil"/>
              <w:bottom w:val="nil"/>
              <w:right w:val="nil"/>
            </w:tcBorders>
            <w:shd w:val="clear" w:color="auto" w:fill="auto"/>
            <w:noWrap/>
            <w:vAlign w:val="center"/>
          </w:tcPr>
          <w:p w14:paraId="09185F70" w14:textId="77777777" w:rsidR="00BA473B" w:rsidRPr="0063349C" w:rsidRDefault="00BA473B" w:rsidP="00BA473B">
            <w:pPr>
              <w:rPr>
                <w:color w:val="000000"/>
                <w:sz w:val="20"/>
                <w:szCs w:val="20"/>
              </w:rPr>
            </w:pPr>
            <w:r w:rsidRPr="0063349C">
              <w:rPr>
                <w:color w:val="000000"/>
                <w:sz w:val="20"/>
                <w:szCs w:val="20"/>
              </w:rPr>
              <w:t>Observations</w:t>
            </w:r>
          </w:p>
        </w:tc>
        <w:tc>
          <w:tcPr>
            <w:tcW w:w="3032" w:type="dxa"/>
            <w:tcBorders>
              <w:top w:val="nil"/>
              <w:left w:val="nil"/>
              <w:bottom w:val="nil"/>
              <w:right w:val="nil"/>
            </w:tcBorders>
            <w:shd w:val="clear" w:color="auto" w:fill="auto"/>
            <w:noWrap/>
            <w:vAlign w:val="bottom"/>
          </w:tcPr>
          <w:p w14:paraId="071204F0" w14:textId="77777777" w:rsidR="00BA473B" w:rsidRPr="0063349C" w:rsidRDefault="00BA473B" w:rsidP="00BA473B">
            <w:pPr>
              <w:rPr>
                <w:color w:val="000000"/>
                <w:sz w:val="20"/>
                <w:szCs w:val="20"/>
              </w:rPr>
            </w:pPr>
            <w:r w:rsidRPr="0063349C">
              <w:rPr>
                <w:color w:val="000000"/>
                <w:sz w:val="20"/>
                <w:szCs w:val="20"/>
              </w:rPr>
              <w:t>616</w:t>
            </w:r>
          </w:p>
        </w:tc>
        <w:tc>
          <w:tcPr>
            <w:tcW w:w="4109" w:type="dxa"/>
            <w:tcBorders>
              <w:top w:val="nil"/>
              <w:left w:val="nil"/>
              <w:bottom w:val="nil"/>
              <w:right w:val="nil"/>
            </w:tcBorders>
          </w:tcPr>
          <w:p w14:paraId="1AAE0CF6" w14:textId="77777777" w:rsidR="00BA473B" w:rsidRPr="0063349C" w:rsidRDefault="00BA473B" w:rsidP="00BA473B">
            <w:pPr>
              <w:rPr>
                <w:color w:val="000000"/>
                <w:sz w:val="20"/>
                <w:szCs w:val="20"/>
              </w:rPr>
            </w:pPr>
          </w:p>
        </w:tc>
      </w:tr>
      <w:tr w:rsidR="00BA473B" w:rsidRPr="005455A9" w14:paraId="306B4D9C" w14:textId="2234086B" w:rsidTr="007F5D57">
        <w:trPr>
          <w:trHeight w:val="320"/>
        </w:trPr>
        <w:tc>
          <w:tcPr>
            <w:tcW w:w="2497" w:type="dxa"/>
            <w:tcBorders>
              <w:top w:val="nil"/>
              <w:left w:val="nil"/>
              <w:bottom w:val="nil"/>
              <w:right w:val="nil"/>
            </w:tcBorders>
            <w:shd w:val="clear" w:color="auto" w:fill="auto"/>
            <w:noWrap/>
            <w:vAlign w:val="center"/>
          </w:tcPr>
          <w:p w14:paraId="0D4DDCBF" w14:textId="77777777" w:rsidR="00BA473B" w:rsidRPr="0063349C" w:rsidRDefault="00BA473B" w:rsidP="00BA473B">
            <w:pPr>
              <w:rPr>
                <w:color w:val="000000"/>
                <w:sz w:val="20"/>
                <w:szCs w:val="20"/>
              </w:rPr>
            </w:pPr>
            <w:r w:rsidRPr="0063349C">
              <w:rPr>
                <w:color w:val="000000"/>
                <w:sz w:val="20"/>
                <w:szCs w:val="20"/>
              </w:rPr>
              <w:t>R2</w:t>
            </w:r>
          </w:p>
        </w:tc>
        <w:tc>
          <w:tcPr>
            <w:tcW w:w="3032" w:type="dxa"/>
            <w:tcBorders>
              <w:top w:val="nil"/>
              <w:left w:val="nil"/>
              <w:bottom w:val="nil"/>
              <w:right w:val="nil"/>
            </w:tcBorders>
            <w:shd w:val="clear" w:color="auto" w:fill="auto"/>
            <w:noWrap/>
            <w:vAlign w:val="bottom"/>
          </w:tcPr>
          <w:p w14:paraId="7F1A563D" w14:textId="77777777" w:rsidR="00BA473B" w:rsidRPr="0063349C" w:rsidRDefault="00BA473B" w:rsidP="00BA473B">
            <w:pPr>
              <w:rPr>
                <w:color w:val="000000"/>
                <w:sz w:val="20"/>
                <w:szCs w:val="20"/>
              </w:rPr>
            </w:pPr>
            <w:r w:rsidRPr="0063349C">
              <w:rPr>
                <w:color w:val="000000"/>
                <w:sz w:val="20"/>
                <w:szCs w:val="20"/>
              </w:rPr>
              <w:t>0.356</w:t>
            </w:r>
          </w:p>
        </w:tc>
        <w:tc>
          <w:tcPr>
            <w:tcW w:w="4109" w:type="dxa"/>
            <w:tcBorders>
              <w:top w:val="nil"/>
              <w:left w:val="nil"/>
              <w:bottom w:val="nil"/>
              <w:right w:val="nil"/>
            </w:tcBorders>
          </w:tcPr>
          <w:p w14:paraId="4133BC8D" w14:textId="77777777" w:rsidR="00BA473B" w:rsidRPr="0063349C" w:rsidRDefault="00BA473B" w:rsidP="00BA473B">
            <w:pPr>
              <w:rPr>
                <w:color w:val="000000"/>
                <w:sz w:val="20"/>
                <w:szCs w:val="20"/>
              </w:rPr>
            </w:pPr>
          </w:p>
        </w:tc>
      </w:tr>
      <w:tr w:rsidR="00BA473B" w:rsidRPr="005455A9" w14:paraId="0A330741" w14:textId="78D5323A" w:rsidTr="007F5D57">
        <w:trPr>
          <w:trHeight w:val="320"/>
        </w:trPr>
        <w:tc>
          <w:tcPr>
            <w:tcW w:w="2497" w:type="dxa"/>
            <w:tcBorders>
              <w:top w:val="nil"/>
              <w:left w:val="nil"/>
              <w:bottom w:val="nil"/>
              <w:right w:val="nil"/>
            </w:tcBorders>
            <w:shd w:val="clear" w:color="auto" w:fill="auto"/>
            <w:noWrap/>
            <w:vAlign w:val="center"/>
          </w:tcPr>
          <w:p w14:paraId="1F8D1F48" w14:textId="77777777" w:rsidR="00BA473B" w:rsidRPr="0063349C" w:rsidRDefault="00BA473B" w:rsidP="00BA473B">
            <w:pPr>
              <w:rPr>
                <w:color w:val="000000"/>
                <w:sz w:val="20"/>
                <w:szCs w:val="20"/>
              </w:rPr>
            </w:pPr>
            <w:r w:rsidRPr="0063349C">
              <w:rPr>
                <w:color w:val="000000"/>
                <w:sz w:val="20"/>
                <w:szCs w:val="20"/>
              </w:rPr>
              <w:t>Adjusted R2</w:t>
            </w:r>
          </w:p>
        </w:tc>
        <w:tc>
          <w:tcPr>
            <w:tcW w:w="3032" w:type="dxa"/>
            <w:tcBorders>
              <w:top w:val="nil"/>
              <w:left w:val="nil"/>
              <w:bottom w:val="nil"/>
              <w:right w:val="nil"/>
            </w:tcBorders>
            <w:shd w:val="clear" w:color="auto" w:fill="auto"/>
            <w:noWrap/>
            <w:vAlign w:val="bottom"/>
          </w:tcPr>
          <w:p w14:paraId="03F5DD2F" w14:textId="77777777" w:rsidR="00BA473B" w:rsidRPr="0063349C" w:rsidRDefault="00BA473B" w:rsidP="00BA473B">
            <w:pPr>
              <w:rPr>
                <w:color w:val="000000"/>
                <w:sz w:val="20"/>
                <w:szCs w:val="20"/>
              </w:rPr>
            </w:pPr>
            <w:r w:rsidRPr="0063349C">
              <w:rPr>
                <w:color w:val="000000"/>
                <w:sz w:val="20"/>
                <w:szCs w:val="20"/>
              </w:rPr>
              <w:t>0.350</w:t>
            </w:r>
          </w:p>
        </w:tc>
        <w:tc>
          <w:tcPr>
            <w:tcW w:w="4109" w:type="dxa"/>
            <w:tcBorders>
              <w:top w:val="nil"/>
              <w:left w:val="nil"/>
              <w:bottom w:val="nil"/>
              <w:right w:val="nil"/>
            </w:tcBorders>
          </w:tcPr>
          <w:p w14:paraId="25F4E670" w14:textId="77777777" w:rsidR="00BA473B" w:rsidRPr="0063349C" w:rsidRDefault="00BA473B" w:rsidP="00BA473B">
            <w:pPr>
              <w:rPr>
                <w:color w:val="000000"/>
                <w:sz w:val="20"/>
                <w:szCs w:val="20"/>
              </w:rPr>
            </w:pPr>
          </w:p>
        </w:tc>
      </w:tr>
      <w:tr w:rsidR="00BA473B" w:rsidRPr="005455A9" w14:paraId="2F18488B" w14:textId="3F392AD5" w:rsidTr="007F5D57">
        <w:trPr>
          <w:trHeight w:val="320"/>
        </w:trPr>
        <w:tc>
          <w:tcPr>
            <w:tcW w:w="2497" w:type="dxa"/>
            <w:tcBorders>
              <w:top w:val="nil"/>
              <w:left w:val="nil"/>
              <w:bottom w:val="nil"/>
              <w:right w:val="nil"/>
            </w:tcBorders>
            <w:shd w:val="clear" w:color="auto" w:fill="auto"/>
            <w:noWrap/>
            <w:vAlign w:val="center"/>
          </w:tcPr>
          <w:p w14:paraId="62A9FE69" w14:textId="77777777" w:rsidR="00BA473B" w:rsidRPr="0063349C" w:rsidRDefault="00BA473B" w:rsidP="00BA473B">
            <w:pPr>
              <w:rPr>
                <w:color w:val="000000"/>
                <w:sz w:val="20"/>
                <w:szCs w:val="20"/>
              </w:rPr>
            </w:pPr>
            <w:r w:rsidRPr="0063349C">
              <w:rPr>
                <w:color w:val="000000"/>
                <w:sz w:val="20"/>
                <w:szCs w:val="20"/>
              </w:rPr>
              <w:lastRenderedPageBreak/>
              <w:t>Residual Std. Error</w:t>
            </w:r>
          </w:p>
        </w:tc>
        <w:tc>
          <w:tcPr>
            <w:tcW w:w="3032" w:type="dxa"/>
            <w:tcBorders>
              <w:top w:val="nil"/>
              <w:left w:val="nil"/>
              <w:bottom w:val="nil"/>
              <w:right w:val="nil"/>
            </w:tcBorders>
            <w:shd w:val="clear" w:color="auto" w:fill="auto"/>
            <w:noWrap/>
            <w:vAlign w:val="bottom"/>
          </w:tcPr>
          <w:p w14:paraId="2E91EC05" w14:textId="77777777" w:rsidR="00BA473B" w:rsidRPr="0063349C" w:rsidRDefault="00BA473B" w:rsidP="00BA473B">
            <w:pPr>
              <w:rPr>
                <w:color w:val="000000"/>
                <w:sz w:val="20"/>
                <w:szCs w:val="20"/>
              </w:rPr>
            </w:pPr>
            <w:r w:rsidRPr="0063349C">
              <w:rPr>
                <w:color w:val="000000"/>
                <w:sz w:val="20"/>
                <w:szCs w:val="20"/>
              </w:rPr>
              <w:t>0.806 (df = 610)</w:t>
            </w:r>
          </w:p>
        </w:tc>
        <w:tc>
          <w:tcPr>
            <w:tcW w:w="4109" w:type="dxa"/>
            <w:tcBorders>
              <w:top w:val="nil"/>
              <w:left w:val="nil"/>
              <w:bottom w:val="nil"/>
              <w:right w:val="nil"/>
            </w:tcBorders>
          </w:tcPr>
          <w:p w14:paraId="0F2D068C" w14:textId="77777777" w:rsidR="00BA473B" w:rsidRPr="0063349C" w:rsidRDefault="00BA473B" w:rsidP="00BA473B">
            <w:pPr>
              <w:rPr>
                <w:color w:val="000000"/>
                <w:sz w:val="20"/>
                <w:szCs w:val="20"/>
              </w:rPr>
            </w:pPr>
          </w:p>
        </w:tc>
      </w:tr>
      <w:tr w:rsidR="00BA473B" w:rsidRPr="005455A9" w14:paraId="7CDF5465" w14:textId="4D60E22E" w:rsidTr="007F5D57">
        <w:trPr>
          <w:trHeight w:val="320"/>
        </w:trPr>
        <w:tc>
          <w:tcPr>
            <w:tcW w:w="2497" w:type="dxa"/>
            <w:tcBorders>
              <w:top w:val="nil"/>
              <w:left w:val="nil"/>
              <w:bottom w:val="single" w:sz="4" w:space="0" w:color="auto"/>
              <w:right w:val="nil"/>
            </w:tcBorders>
            <w:shd w:val="clear" w:color="auto" w:fill="auto"/>
            <w:noWrap/>
            <w:vAlign w:val="center"/>
          </w:tcPr>
          <w:p w14:paraId="51A3D656" w14:textId="77777777" w:rsidR="00BA473B" w:rsidRPr="0063349C" w:rsidRDefault="00BA473B" w:rsidP="00BA473B">
            <w:pPr>
              <w:rPr>
                <w:color w:val="000000"/>
                <w:sz w:val="20"/>
                <w:szCs w:val="20"/>
              </w:rPr>
            </w:pPr>
            <w:r w:rsidRPr="0063349C">
              <w:rPr>
                <w:color w:val="000000"/>
                <w:sz w:val="20"/>
                <w:szCs w:val="20"/>
              </w:rPr>
              <w:t>F Statistic</w:t>
            </w:r>
          </w:p>
        </w:tc>
        <w:tc>
          <w:tcPr>
            <w:tcW w:w="3032" w:type="dxa"/>
            <w:tcBorders>
              <w:top w:val="nil"/>
              <w:left w:val="nil"/>
              <w:bottom w:val="nil"/>
              <w:right w:val="nil"/>
            </w:tcBorders>
            <w:shd w:val="clear" w:color="auto" w:fill="auto"/>
            <w:noWrap/>
            <w:vAlign w:val="bottom"/>
          </w:tcPr>
          <w:p w14:paraId="156272EB" w14:textId="77777777" w:rsidR="00BA473B" w:rsidRPr="0063349C" w:rsidRDefault="00BA473B" w:rsidP="00BA473B">
            <w:pPr>
              <w:rPr>
                <w:color w:val="000000"/>
                <w:sz w:val="20"/>
                <w:szCs w:val="20"/>
              </w:rPr>
            </w:pPr>
            <w:r w:rsidRPr="0063349C">
              <w:rPr>
                <w:color w:val="000000"/>
                <w:sz w:val="20"/>
                <w:szCs w:val="20"/>
              </w:rPr>
              <w:t>67.301*** (df = 5; 610)</w:t>
            </w:r>
          </w:p>
        </w:tc>
        <w:tc>
          <w:tcPr>
            <w:tcW w:w="4109" w:type="dxa"/>
            <w:tcBorders>
              <w:top w:val="nil"/>
              <w:left w:val="nil"/>
              <w:bottom w:val="nil"/>
              <w:right w:val="nil"/>
            </w:tcBorders>
          </w:tcPr>
          <w:p w14:paraId="18D1D6D4" w14:textId="77777777" w:rsidR="00BA473B" w:rsidRPr="0063349C" w:rsidRDefault="00BA473B" w:rsidP="00BA473B">
            <w:pPr>
              <w:rPr>
                <w:color w:val="000000"/>
                <w:sz w:val="20"/>
                <w:szCs w:val="20"/>
              </w:rPr>
            </w:pPr>
          </w:p>
        </w:tc>
      </w:tr>
      <w:tr w:rsidR="00BA473B" w:rsidRPr="005455A9" w14:paraId="47E48A9F" w14:textId="452B4DDE" w:rsidTr="007F5D57">
        <w:trPr>
          <w:trHeight w:val="320"/>
        </w:trPr>
        <w:tc>
          <w:tcPr>
            <w:tcW w:w="2497" w:type="dxa"/>
            <w:tcBorders>
              <w:top w:val="single" w:sz="4" w:space="0" w:color="auto"/>
              <w:left w:val="nil"/>
              <w:bottom w:val="nil"/>
              <w:right w:val="nil"/>
            </w:tcBorders>
            <w:shd w:val="clear" w:color="auto" w:fill="auto"/>
            <w:noWrap/>
            <w:vAlign w:val="center"/>
          </w:tcPr>
          <w:p w14:paraId="1EB59B48" w14:textId="77777777" w:rsidR="00BA473B" w:rsidRPr="0063349C" w:rsidRDefault="00BA473B" w:rsidP="00BA473B">
            <w:pPr>
              <w:rPr>
                <w:i/>
                <w:iCs/>
                <w:color w:val="000000"/>
                <w:sz w:val="20"/>
                <w:szCs w:val="20"/>
              </w:rPr>
            </w:pPr>
            <w:r w:rsidRPr="0063349C">
              <w:rPr>
                <w:i/>
                <w:iCs/>
                <w:color w:val="000000"/>
                <w:sz w:val="20"/>
                <w:szCs w:val="20"/>
              </w:rPr>
              <w:t>Note:</w:t>
            </w:r>
          </w:p>
        </w:tc>
        <w:tc>
          <w:tcPr>
            <w:tcW w:w="3032" w:type="dxa"/>
            <w:tcBorders>
              <w:top w:val="nil"/>
              <w:left w:val="nil"/>
              <w:bottom w:val="nil"/>
              <w:right w:val="nil"/>
            </w:tcBorders>
            <w:shd w:val="clear" w:color="auto" w:fill="auto"/>
            <w:noWrap/>
            <w:vAlign w:val="bottom"/>
          </w:tcPr>
          <w:p w14:paraId="3812E4E9" w14:textId="77777777" w:rsidR="00BA473B" w:rsidRPr="0063349C" w:rsidRDefault="00BA473B" w:rsidP="00BA473B">
            <w:pPr>
              <w:rPr>
                <w:i/>
                <w:iCs/>
                <w:color w:val="000000"/>
                <w:sz w:val="20"/>
                <w:szCs w:val="20"/>
              </w:rPr>
            </w:pPr>
            <w:r w:rsidRPr="0063349C">
              <w:rPr>
                <w:i/>
                <w:iCs/>
                <w:color w:val="000000"/>
                <w:sz w:val="20"/>
                <w:szCs w:val="20"/>
              </w:rPr>
              <w:t>*p&lt;0.1; **p&lt;0.05;***p&lt;0.01</w:t>
            </w:r>
          </w:p>
        </w:tc>
        <w:tc>
          <w:tcPr>
            <w:tcW w:w="4109" w:type="dxa"/>
            <w:tcBorders>
              <w:top w:val="nil"/>
              <w:left w:val="nil"/>
              <w:bottom w:val="nil"/>
              <w:right w:val="nil"/>
            </w:tcBorders>
          </w:tcPr>
          <w:p w14:paraId="29572919" w14:textId="77777777" w:rsidR="00BA473B" w:rsidRPr="0063349C" w:rsidRDefault="00BA473B" w:rsidP="00BA473B">
            <w:pPr>
              <w:rPr>
                <w:i/>
                <w:iCs/>
                <w:color w:val="000000"/>
                <w:sz w:val="20"/>
                <w:szCs w:val="20"/>
              </w:rPr>
            </w:pPr>
          </w:p>
        </w:tc>
      </w:tr>
    </w:tbl>
    <w:p w14:paraId="4FE4BF0F" w14:textId="2D41EBFC" w:rsidR="00891BDE" w:rsidRPr="007F5D57" w:rsidRDefault="00891BDE" w:rsidP="007F5D57"/>
    <w:p w14:paraId="64489268" w14:textId="7FAEE4A0" w:rsidR="00A978CC" w:rsidRDefault="00891BDE" w:rsidP="00891BDE">
      <w:pPr>
        <w:pStyle w:val="Heading1"/>
        <w:jc w:val="both"/>
      </w:pPr>
      <w:r>
        <w:t>FINDINGS</w:t>
      </w:r>
    </w:p>
    <w:p w14:paraId="2E47FAEE" w14:textId="3F899C41" w:rsidR="00211575" w:rsidRDefault="00211575" w:rsidP="00211575">
      <w:pPr>
        <w:rPr>
          <w:szCs w:val="22"/>
        </w:rPr>
      </w:pPr>
      <w:r w:rsidRPr="00D85737">
        <w:rPr>
          <w:szCs w:val="22"/>
        </w:rPr>
        <w:t>Building on these results, we interpret the significant coefficients in the context of our research question</w:t>
      </w:r>
      <w:r>
        <w:rPr>
          <w:szCs w:val="22"/>
        </w:rPr>
        <w:t>.</w:t>
      </w:r>
      <w:r w:rsidR="00E63498">
        <w:rPr>
          <w:szCs w:val="22"/>
        </w:rPr>
        <w:t xml:space="preserve"> </w:t>
      </w:r>
      <w:r w:rsidRPr="00D85737">
        <w:rPr>
          <w:szCs w:val="22"/>
        </w:rPr>
        <w:t xml:space="preserve">The </w:t>
      </w:r>
      <w:r w:rsidRPr="00B16893">
        <w:rPr>
          <w:color w:val="000000"/>
          <w:szCs w:val="22"/>
        </w:rPr>
        <w:t>increase</w:t>
      </w:r>
      <w:r w:rsidRPr="00D85737">
        <w:rPr>
          <w:szCs w:val="22"/>
        </w:rPr>
        <w:t xml:space="preserve"> in land value showed a gradation based on the distance from the megaproject, aligning with our hypothesis that the impact would be concentric.</w:t>
      </w:r>
      <w:r w:rsidR="00E63498">
        <w:rPr>
          <w:szCs w:val="22"/>
        </w:rPr>
        <w:t xml:space="preserve"> </w:t>
      </w:r>
      <w:r w:rsidRPr="00D85737">
        <w:rPr>
          <w:szCs w:val="22"/>
        </w:rPr>
        <w:t>A positive coefficient suggests that properties with larger areas are likely to experience greater financial returns.</w:t>
      </w:r>
      <w:r w:rsidR="00E63498" w:rsidRPr="00D85737">
        <w:rPr>
          <w:szCs w:val="22"/>
        </w:rPr>
        <w:t xml:space="preserve"> This could be linked to the utility and development potential of larger plots.</w:t>
      </w:r>
      <w:r w:rsidR="00E63498">
        <w:rPr>
          <w:szCs w:val="22"/>
        </w:rPr>
        <w:t xml:space="preserve"> </w:t>
      </w:r>
      <w:r w:rsidRPr="00D85737">
        <w:rPr>
          <w:szCs w:val="22"/>
        </w:rPr>
        <w:t>The properties closest to the megaproject are likely to experience the most direct benefits, such as improved accessibility, better amenities, and possibly higher demand, due to the project's attractiveness.</w:t>
      </w:r>
      <w:r w:rsidR="00E63498">
        <w:rPr>
          <w:szCs w:val="22"/>
        </w:rPr>
        <w:t xml:space="preserve"> </w:t>
      </w:r>
      <w:r w:rsidRPr="00D85737">
        <w:rPr>
          <w:szCs w:val="22"/>
        </w:rPr>
        <w:t xml:space="preserve">These benefits often result in the most substantial </w:t>
      </w:r>
      <w:r w:rsidRPr="00B16893">
        <w:rPr>
          <w:color w:val="000000"/>
          <w:szCs w:val="22"/>
        </w:rPr>
        <w:t>increase</w:t>
      </w:r>
      <w:r w:rsidRPr="00D85737">
        <w:rPr>
          <w:szCs w:val="22"/>
        </w:rPr>
        <w:t xml:space="preserve"> in land value, and the positive coefficient for this distance band should be captured</w:t>
      </w:r>
      <w:r>
        <w:rPr>
          <w:szCs w:val="22"/>
        </w:rPr>
        <w:t>.</w:t>
      </w:r>
      <w:r w:rsidR="00E63498">
        <w:rPr>
          <w:szCs w:val="22"/>
        </w:rPr>
        <w:t xml:space="preserve"> </w:t>
      </w:r>
      <w:r w:rsidR="00E63498" w:rsidRPr="00D85737">
        <w:rPr>
          <w:szCs w:val="22"/>
        </w:rPr>
        <w:t xml:space="preserve">Policymakers could use this information to consider </w:t>
      </w:r>
      <w:r w:rsidR="00E63498" w:rsidRPr="00B16893">
        <w:rPr>
          <w:color w:val="000000"/>
          <w:szCs w:val="22"/>
        </w:rPr>
        <w:t>localised</w:t>
      </w:r>
      <w:r w:rsidR="00E63498" w:rsidRPr="00D85737">
        <w:rPr>
          <w:szCs w:val="22"/>
        </w:rPr>
        <w:t xml:space="preserve"> tax or fee structures that </w:t>
      </w:r>
      <w:r w:rsidR="00E63498" w:rsidRPr="00B16893">
        <w:rPr>
          <w:color w:val="000000"/>
          <w:szCs w:val="22"/>
        </w:rPr>
        <w:t>capitalise</w:t>
      </w:r>
      <w:r w:rsidR="00E63498" w:rsidRPr="00D85737">
        <w:rPr>
          <w:szCs w:val="22"/>
        </w:rPr>
        <w:t xml:space="preserve"> on this uplift.</w:t>
      </w:r>
      <w:r w:rsidR="00E63498">
        <w:rPr>
          <w:szCs w:val="22"/>
        </w:rPr>
        <w:t xml:space="preserve"> </w:t>
      </w:r>
      <w:r w:rsidRPr="00D85737">
        <w:rPr>
          <w:szCs w:val="22"/>
        </w:rPr>
        <w:t xml:space="preserve">The decline in valuation beyond </w:t>
      </w:r>
      <w:r w:rsidRPr="00B16893">
        <w:rPr>
          <w:color w:val="000000"/>
          <w:szCs w:val="22"/>
        </w:rPr>
        <w:t>800 m</w:t>
      </w:r>
      <w:r w:rsidRPr="00D85737">
        <w:rPr>
          <w:szCs w:val="22"/>
        </w:rPr>
        <w:t xml:space="preserve"> may indicate that the benefits of the megaproject have diminishing returns with distance.</w:t>
      </w:r>
      <w:r w:rsidR="00E63498" w:rsidRPr="00D85737">
        <w:rPr>
          <w:szCs w:val="22"/>
        </w:rPr>
        <w:t xml:space="preserve"> This could be due to the </w:t>
      </w:r>
      <w:r w:rsidR="00E63498" w:rsidRPr="00B16893">
        <w:rPr>
          <w:color w:val="000000"/>
          <w:szCs w:val="22"/>
        </w:rPr>
        <w:t>localised</w:t>
      </w:r>
      <w:r w:rsidR="00E63498" w:rsidRPr="00D85737">
        <w:rPr>
          <w:szCs w:val="22"/>
        </w:rPr>
        <w:t xml:space="preserve"> nature of certain </w:t>
      </w:r>
      <w:r w:rsidR="00E63498" w:rsidRPr="00B16893">
        <w:rPr>
          <w:color w:val="000000"/>
          <w:szCs w:val="22"/>
        </w:rPr>
        <w:t>services</w:t>
      </w:r>
      <w:r w:rsidR="00E63498" w:rsidRPr="00D85737">
        <w:rPr>
          <w:szCs w:val="22"/>
        </w:rPr>
        <w:t xml:space="preserve"> or </w:t>
      </w:r>
      <w:r w:rsidR="00E63498" w:rsidRPr="00B16893">
        <w:rPr>
          <w:color w:val="000000"/>
          <w:szCs w:val="22"/>
        </w:rPr>
        <w:t>amenities.</w:t>
      </w:r>
      <w:r w:rsidR="00E63498">
        <w:rPr>
          <w:szCs w:val="22"/>
        </w:rPr>
        <w:t xml:space="preserve"> </w:t>
      </w:r>
      <w:r w:rsidRPr="00D85737">
        <w:rPr>
          <w:szCs w:val="22"/>
        </w:rPr>
        <w:t xml:space="preserve">These findings suggest that governments can significantly </w:t>
      </w:r>
      <w:r w:rsidRPr="00B16893">
        <w:rPr>
          <w:color w:val="000000"/>
          <w:szCs w:val="22"/>
        </w:rPr>
        <w:t>capitalise</w:t>
      </w:r>
      <w:r w:rsidRPr="00D85737">
        <w:rPr>
          <w:szCs w:val="22"/>
        </w:rPr>
        <w:t xml:space="preserve"> on</w:t>
      </w:r>
      <w:r w:rsidR="00BC0E14">
        <w:rPr>
          <w:szCs w:val="22"/>
        </w:rPr>
        <w:t xml:space="preserve"> promoting</w:t>
      </w:r>
      <w:r w:rsidRPr="00D85737">
        <w:rPr>
          <w:szCs w:val="22"/>
        </w:rPr>
        <w:t xml:space="preserve"> megaprojects through an </w:t>
      </w:r>
      <w:r w:rsidRPr="00B16893">
        <w:rPr>
          <w:color w:val="000000"/>
          <w:szCs w:val="22"/>
        </w:rPr>
        <w:t>increase</w:t>
      </w:r>
      <w:r w:rsidRPr="00D85737">
        <w:rPr>
          <w:szCs w:val="22"/>
        </w:rPr>
        <w:t xml:space="preserve"> in surrounding land values.</w:t>
      </w:r>
    </w:p>
    <w:p w14:paraId="225547A9" w14:textId="41F70345" w:rsidR="00211575" w:rsidRPr="00211575" w:rsidRDefault="00211575" w:rsidP="00211575">
      <w:pPr>
        <w:pStyle w:val="Heading1"/>
        <w:jc w:val="both"/>
      </w:pPr>
      <w:r>
        <w:t>Discussion</w:t>
      </w:r>
    </w:p>
    <w:p w14:paraId="2B665E70" w14:textId="5785ABF6" w:rsidR="00477E6B" w:rsidRPr="00211575" w:rsidRDefault="00211575" w:rsidP="007F5D57">
      <w:pPr>
        <w:rPr>
          <w:szCs w:val="22"/>
        </w:rPr>
      </w:pPr>
      <w:r w:rsidRPr="007F5D57">
        <w:rPr>
          <w:szCs w:val="22"/>
        </w:rPr>
        <w:t>This study examined financial returns to the state by promoting the development of urban megaprojects.</w:t>
      </w:r>
      <w:r w:rsidR="00EE4E8B" w:rsidRPr="007F5D57">
        <w:rPr>
          <w:szCs w:val="22"/>
        </w:rPr>
        <w:t xml:space="preserve"> </w:t>
      </w:r>
      <w:r w:rsidRPr="007F5D57">
        <w:rPr>
          <w:szCs w:val="22"/>
        </w:rPr>
        <w:t>The Hedonic Regression Model demonstrated that our study area had a significant effect on land value within our designed distance bands, thereby increasing state revenue from incremental land value taxation in addition to stimulating economic activity.</w:t>
      </w:r>
      <w:r w:rsidR="00EE4E8B" w:rsidRPr="00850AA8">
        <w:rPr>
          <w:b/>
          <w:bCs/>
          <w:szCs w:val="22"/>
        </w:rPr>
        <w:t xml:space="preserve"> </w:t>
      </w:r>
      <w:r w:rsidRPr="00EE4E8B">
        <w:rPr>
          <w:rStyle w:val="c-pjlv"/>
          <w:szCs w:val="22"/>
        </w:rPr>
        <w:t xml:space="preserve">Our </w:t>
      </w:r>
      <w:r w:rsidRPr="00211575">
        <w:rPr>
          <w:rStyle w:val="c-pjlv"/>
          <w:szCs w:val="22"/>
        </w:rPr>
        <w:t>model provide</w:t>
      </w:r>
      <w:r w:rsidRPr="007F5D57">
        <w:rPr>
          <w:rStyle w:val="c-pjlv"/>
          <w:szCs w:val="22"/>
        </w:rPr>
        <w:t xml:space="preserve">s </w:t>
      </w:r>
      <w:r w:rsidRPr="00211575">
        <w:rPr>
          <w:rStyle w:val="c-pjlv"/>
          <w:szCs w:val="22"/>
        </w:rPr>
        <w:t xml:space="preserve">insight into the localised effects of Queen’s Wharf development on land values, aiding the understanding of </w:t>
      </w:r>
      <w:r w:rsidRPr="007F5D57">
        <w:rPr>
          <w:rStyle w:val="c-pjlv"/>
          <w:szCs w:val="22"/>
        </w:rPr>
        <w:t>unimproved site values in the presence of</w:t>
      </w:r>
      <w:r w:rsidRPr="00211575">
        <w:rPr>
          <w:rStyle w:val="c-pjlv"/>
          <w:szCs w:val="22"/>
        </w:rPr>
        <w:t xml:space="preserve"> </w:t>
      </w:r>
      <w:r w:rsidRPr="007F5D57">
        <w:rPr>
          <w:rStyle w:val="c-pjlv"/>
          <w:szCs w:val="22"/>
        </w:rPr>
        <w:t>mixed-use megaprojects.</w:t>
      </w:r>
      <w:r w:rsidR="00EE4E8B" w:rsidRPr="00211575">
        <w:rPr>
          <w:rStyle w:val="c-pjlv"/>
          <w:szCs w:val="22"/>
        </w:rPr>
        <w:t xml:space="preserve"> </w:t>
      </w:r>
      <w:r w:rsidRPr="00211575">
        <w:rPr>
          <w:rStyle w:val="c-pjlv"/>
          <w:szCs w:val="22"/>
        </w:rPr>
        <w:t xml:space="preserve">Caution should be taken when interpreting these results, as our model </w:t>
      </w:r>
      <w:r w:rsidRPr="007F5D57">
        <w:rPr>
          <w:rStyle w:val="c-pjlv"/>
          <w:szCs w:val="22"/>
        </w:rPr>
        <w:t xml:space="preserve">is </w:t>
      </w:r>
      <w:r w:rsidRPr="00211575">
        <w:rPr>
          <w:rStyle w:val="c-pjlv"/>
          <w:szCs w:val="22"/>
        </w:rPr>
        <w:t xml:space="preserve">simplified </w:t>
      </w:r>
      <w:r w:rsidRPr="007F5D57">
        <w:rPr>
          <w:rStyle w:val="c-pjlv"/>
          <w:szCs w:val="22"/>
        </w:rPr>
        <w:t>to reality and the relatively low R</w:t>
      </w:r>
      <w:r w:rsidRPr="007F5D57">
        <w:rPr>
          <w:rStyle w:val="c-pjlv"/>
          <w:szCs w:val="22"/>
          <w:vertAlign w:val="superscript"/>
        </w:rPr>
        <w:t>2</w:t>
      </w:r>
      <w:r w:rsidRPr="007F5D57">
        <w:rPr>
          <w:rStyle w:val="c-pjlv"/>
          <w:szCs w:val="22"/>
        </w:rPr>
        <w:t xml:space="preserve"> may indicate that</w:t>
      </w:r>
      <w:r w:rsidRPr="00211575">
        <w:rPr>
          <w:rStyle w:val="c-pjlv"/>
          <w:szCs w:val="22"/>
        </w:rPr>
        <w:t xml:space="preserve"> not </w:t>
      </w:r>
      <w:r w:rsidRPr="007F5D57">
        <w:rPr>
          <w:rStyle w:val="c-pjlv"/>
          <w:szCs w:val="22"/>
        </w:rPr>
        <w:t xml:space="preserve">all </w:t>
      </w:r>
      <w:r w:rsidRPr="00211575">
        <w:rPr>
          <w:rStyle w:val="c-pjlv"/>
          <w:szCs w:val="22"/>
        </w:rPr>
        <w:t>factor</w:t>
      </w:r>
      <w:r w:rsidRPr="007F5D57">
        <w:rPr>
          <w:rStyle w:val="c-pjlv"/>
          <w:szCs w:val="22"/>
        </w:rPr>
        <w:t>s</w:t>
      </w:r>
      <w:r w:rsidRPr="00211575">
        <w:rPr>
          <w:rStyle w:val="c-pjlv"/>
          <w:szCs w:val="22"/>
        </w:rPr>
        <w:t xml:space="preserve"> </w:t>
      </w:r>
      <w:r w:rsidRPr="007F5D57">
        <w:rPr>
          <w:rStyle w:val="c-pjlv"/>
          <w:szCs w:val="22"/>
        </w:rPr>
        <w:t>affecting land values were considered in the model.</w:t>
      </w:r>
    </w:p>
    <w:p w14:paraId="6975B2B3" w14:textId="01EBB6BF" w:rsidR="004329A7" w:rsidRDefault="00C83132" w:rsidP="00C83132">
      <w:pPr>
        <w:rPr>
          <w:color w:val="000000"/>
          <w:szCs w:val="22"/>
        </w:rPr>
      </w:pPr>
      <w:r w:rsidRPr="00211575">
        <w:rPr>
          <w:color w:val="000000"/>
          <w:szCs w:val="22"/>
        </w:rPr>
        <w:t xml:space="preserve">High-quality data access is a major challenge in real-estate research. </w:t>
      </w:r>
      <w:r w:rsidR="00211575" w:rsidRPr="00211575">
        <w:rPr>
          <w:color w:val="000000"/>
          <w:szCs w:val="22"/>
        </w:rPr>
        <w:t>This</w:t>
      </w:r>
      <w:r w:rsidR="00211575" w:rsidRPr="00705D8D">
        <w:rPr>
          <w:color w:val="000000"/>
          <w:szCs w:val="22"/>
        </w:rPr>
        <w:t xml:space="preserve"> study had some limitations, such as </w:t>
      </w:r>
      <w:r w:rsidR="00211575">
        <w:rPr>
          <w:color w:val="000000"/>
          <w:szCs w:val="22"/>
        </w:rPr>
        <w:t xml:space="preserve">the </w:t>
      </w:r>
      <w:r w:rsidR="00211575" w:rsidRPr="00705D8D">
        <w:rPr>
          <w:color w:val="000000"/>
          <w:szCs w:val="22"/>
        </w:rPr>
        <w:t xml:space="preserve">cross-sectional </w:t>
      </w:r>
      <w:r w:rsidR="00211575">
        <w:rPr>
          <w:color w:val="000000"/>
          <w:szCs w:val="22"/>
        </w:rPr>
        <w:t>nature of the dataset.</w:t>
      </w:r>
      <w:r>
        <w:rPr>
          <w:color w:val="000000"/>
          <w:szCs w:val="22"/>
        </w:rPr>
        <w:t xml:space="preserve"> </w:t>
      </w:r>
      <w:r w:rsidR="00211575">
        <w:rPr>
          <w:color w:val="000000"/>
          <w:szCs w:val="22"/>
        </w:rPr>
        <w:t>Temporal analysis using longitudinal data over time may yield better results.</w:t>
      </w:r>
      <w:r w:rsidRPr="00705D8D">
        <w:rPr>
          <w:color w:val="000000"/>
          <w:szCs w:val="22"/>
        </w:rPr>
        <w:t xml:space="preserve"> </w:t>
      </w:r>
      <w:r w:rsidR="00211575" w:rsidRPr="00705D8D">
        <w:rPr>
          <w:color w:val="000000"/>
          <w:szCs w:val="22"/>
        </w:rPr>
        <w:t xml:space="preserve">The study area was well-defined; however, similar projects may </w:t>
      </w:r>
      <w:r w:rsidR="00211575">
        <w:rPr>
          <w:color w:val="000000"/>
          <w:szCs w:val="22"/>
        </w:rPr>
        <w:t>produce</w:t>
      </w:r>
      <w:r w:rsidR="00211575" w:rsidRPr="00705D8D">
        <w:rPr>
          <w:color w:val="000000"/>
          <w:szCs w:val="22"/>
        </w:rPr>
        <w:t xml:space="preserve"> different results.</w:t>
      </w:r>
      <w:r w:rsidRPr="00705D8D">
        <w:rPr>
          <w:color w:val="000000"/>
          <w:szCs w:val="22"/>
        </w:rPr>
        <w:t xml:space="preserve"> Megaprojects require </w:t>
      </w:r>
      <w:r>
        <w:rPr>
          <w:color w:val="000000"/>
          <w:szCs w:val="22"/>
        </w:rPr>
        <w:t>agglomeration effects and density</w:t>
      </w:r>
      <w:r w:rsidRPr="00705D8D">
        <w:rPr>
          <w:color w:val="000000"/>
          <w:szCs w:val="22"/>
        </w:rPr>
        <w:t>,</w:t>
      </w:r>
      <w:r>
        <w:rPr>
          <w:color w:val="000000"/>
          <w:szCs w:val="22"/>
        </w:rPr>
        <w:t xml:space="preserve"> which are</w:t>
      </w:r>
      <w:r w:rsidRPr="00705D8D">
        <w:rPr>
          <w:color w:val="000000"/>
          <w:szCs w:val="22"/>
        </w:rPr>
        <w:t xml:space="preserve"> usually found in city centres. This brings the issue of model assumptions and omitted variable bias, as land values are usually highest in city centres.</w:t>
      </w:r>
    </w:p>
    <w:p w14:paraId="35CF84E2" w14:textId="0893B25D" w:rsidR="00C83132" w:rsidRPr="007F5D57" w:rsidRDefault="00211575" w:rsidP="00C83132">
      <w:pPr>
        <w:rPr>
          <w:color w:val="000000"/>
          <w:szCs w:val="22"/>
        </w:rPr>
      </w:pPr>
      <w:r>
        <w:rPr>
          <w:szCs w:val="22"/>
        </w:rPr>
        <w:t xml:space="preserve">Unlike static cross-sectional data, longitudinal data in the form of </w:t>
      </w:r>
      <w:r w:rsidRPr="00C6636E">
        <w:rPr>
          <w:szCs w:val="22"/>
        </w:rPr>
        <w:t>time-series or panel data analysis can uncover trends, cycles, or growth trajectories, which could</w:t>
      </w:r>
      <w:r>
        <w:rPr>
          <w:szCs w:val="22"/>
        </w:rPr>
        <w:t xml:space="preserve"> pinpoint specific impacts over time and thus calculate the capitalisation period on these projects for the state involved in Public-Private Partnerships.</w:t>
      </w:r>
      <w:r w:rsidR="007311EE">
        <w:rPr>
          <w:szCs w:val="22"/>
        </w:rPr>
        <w:t xml:space="preserve"> </w:t>
      </w:r>
      <w:r>
        <w:rPr>
          <w:szCs w:val="22"/>
        </w:rPr>
        <w:t>Another benefit of time-series data would be to unravel the impact of</w:t>
      </w:r>
      <w:r w:rsidRPr="00C6636E">
        <w:rPr>
          <w:szCs w:val="22"/>
        </w:rPr>
        <w:t xml:space="preserve"> mixed-use megaprojects </w:t>
      </w:r>
      <w:r>
        <w:rPr>
          <w:szCs w:val="22"/>
        </w:rPr>
        <w:t>in the different stages of the project lifecycle.</w:t>
      </w:r>
      <w:r w:rsidR="007311EE">
        <w:rPr>
          <w:szCs w:val="22"/>
        </w:rPr>
        <w:t xml:space="preserve"> </w:t>
      </w:r>
      <w:r>
        <w:rPr>
          <w:szCs w:val="22"/>
        </w:rPr>
        <w:t>Future research could also i</w:t>
      </w:r>
      <w:r w:rsidRPr="00C6636E">
        <w:rPr>
          <w:szCs w:val="22"/>
        </w:rPr>
        <w:t>ncorporat</w:t>
      </w:r>
      <w:r>
        <w:rPr>
          <w:szCs w:val="22"/>
        </w:rPr>
        <w:t>e</w:t>
      </w:r>
      <w:r w:rsidRPr="00C6636E">
        <w:rPr>
          <w:szCs w:val="22"/>
        </w:rPr>
        <w:t xml:space="preserve"> qualitative data from non-standardised valuation methods, such as contingent valuation, which could strengthen the discussion on public stakeholder megaproject promotion</w:t>
      </w:r>
      <w:r>
        <w:rPr>
          <w:szCs w:val="22"/>
        </w:rPr>
        <w:t xml:space="preserve"> that would be far beyond the scope of this study.</w:t>
      </w:r>
      <w:r w:rsidR="007311EE">
        <w:rPr>
          <w:szCs w:val="22"/>
        </w:rPr>
        <w:t xml:space="preserve"> </w:t>
      </w:r>
      <w:r>
        <w:rPr>
          <w:szCs w:val="22"/>
        </w:rPr>
        <w:t>Ultimately, the model specification itself can be improved, such as nonlinear or semiparametric models, to increase the explanatory power of the model.</w:t>
      </w:r>
      <w:r w:rsidR="007311EE">
        <w:rPr>
          <w:szCs w:val="22"/>
        </w:rPr>
        <w:t xml:space="preserve"> </w:t>
      </w:r>
      <w:r>
        <w:rPr>
          <w:color w:val="000000"/>
          <w:szCs w:val="22"/>
        </w:rPr>
        <w:t>Nevertheless</w:t>
      </w:r>
      <w:r w:rsidRPr="00705D8D">
        <w:rPr>
          <w:color w:val="000000"/>
          <w:szCs w:val="22"/>
        </w:rPr>
        <w:t xml:space="preserve">, some valid generalisations can be made for </w:t>
      </w:r>
      <w:r>
        <w:rPr>
          <w:color w:val="000000"/>
          <w:szCs w:val="22"/>
        </w:rPr>
        <w:t xml:space="preserve">project stakeholders involved in similar </w:t>
      </w:r>
      <w:r w:rsidRPr="00705D8D">
        <w:rPr>
          <w:color w:val="000000"/>
          <w:szCs w:val="22"/>
        </w:rPr>
        <w:t>urban development projects.</w:t>
      </w:r>
    </w:p>
    <w:p w14:paraId="6F03B484" w14:textId="3C454B34" w:rsidR="007311EE" w:rsidRDefault="007311EE" w:rsidP="007311EE">
      <w:pPr>
        <w:pStyle w:val="Heading1"/>
        <w:jc w:val="both"/>
      </w:pPr>
      <w:r w:rsidRPr="00B16893">
        <w:rPr>
          <w:color w:val="000000"/>
        </w:rPr>
        <w:t>Conclusion</w:t>
      </w:r>
    </w:p>
    <w:p w14:paraId="56B01AD5" w14:textId="0669E2BE" w:rsidR="00C83132" w:rsidRPr="0022215E" w:rsidRDefault="00211575" w:rsidP="004329A7">
      <w:pPr>
        <w:rPr>
          <w:bCs/>
          <w:color w:val="000000" w:themeColor="text1"/>
          <w:szCs w:val="22"/>
        </w:rPr>
      </w:pPr>
      <w:r w:rsidRPr="004329A7">
        <w:rPr>
          <w:bCs/>
          <w:szCs w:val="22"/>
        </w:rPr>
        <w:t>This study finds empirical evidence that urban megaprojects such as the Queen's Wharf Development Project in Brisbane can raise land value and generate financial returns for the state.</w:t>
      </w:r>
      <w:r w:rsidR="004329A7" w:rsidRPr="004329A7">
        <w:rPr>
          <w:bCs/>
          <w:szCs w:val="22"/>
        </w:rPr>
        <w:t xml:space="preserve"> </w:t>
      </w:r>
      <w:r w:rsidR="00CD3F5A" w:rsidRPr="004329A7">
        <w:rPr>
          <w:bCs/>
          <w:szCs w:val="22"/>
        </w:rPr>
        <w:t xml:space="preserve">The results were </w:t>
      </w:r>
      <w:r w:rsidR="007B03ED" w:rsidRPr="004329A7">
        <w:rPr>
          <w:bCs/>
          <w:szCs w:val="22"/>
        </w:rPr>
        <w:t>validated,</w:t>
      </w:r>
      <w:r w:rsidR="00CD3F5A" w:rsidRPr="004329A7">
        <w:rPr>
          <w:bCs/>
          <w:szCs w:val="22"/>
        </w:rPr>
        <w:t xml:space="preserve"> and the study's academic and policy contributions were reinforced.</w:t>
      </w:r>
      <w:r w:rsidR="004329A7" w:rsidRPr="004329A7">
        <w:rPr>
          <w:bCs/>
          <w:szCs w:val="22"/>
        </w:rPr>
        <w:t xml:space="preserve"> </w:t>
      </w:r>
      <w:r w:rsidRPr="004329A7">
        <w:rPr>
          <w:bCs/>
          <w:szCs w:val="22"/>
        </w:rPr>
        <w:t xml:space="preserve">Policymakers can use these findings to optimise the land use </w:t>
      </w:r>
      <w:r w:rsidRPr="004329A7">
        <w:rPr>
          <w:bCs/>
          <w:iCs/>
          <w:szCs w:val="22"/>
        </w:rPr>
        <w:t xml:space="preserve">mix </w:t>
      </w:r>
      <w:r w:rsidRPr="004329A7">
        <w:rPr>
          <w:bCs/>
          <w:szCs w:val="22"/>
        </w:rPr>
        <w:t>and fiscal policies</w:t>
      </w:r>
      <w:r w:rsidRPr="004329A7">
        <w:rPr>
          <w:bCs/>
          <w:iCs/>
          <w:szCs w:val="22"/>
        </w:rPr>
        <w:t>.</w:t>
      </w:r>
      <w:r w:rsidR="004329A7" w:rsidRPr="004329A7">
        <w:rPr>
          <w:bCs/>
          <w:szCs w:val="22"/>
        </w:rPr>
        <w:t xml:space="preserve"> </w:t>
      </w:r>
      <w:r w:rsidRPr="004329A7">
        <w:rPr>
          <w:bCs/>
          <w:szCs w:val="22"/>
        </w:rPr>
        <w:t>This study aims to assess the financial returns to the state of urban megaprojects.</w:t>
      </w:r>
      <w:r w:rsidR="004329A7" w:rsidRPr="004329A7">
        <w:rPr>
          <w:bCs/>
          <w:szCs w:val="22"/>
        </w:rPr>
        <w:t xml:space="preserve"> A Hedonic Regression Model revealed that megaprojects increased land values within a given radius. </w:t>
      </w:r>
      <w:r w:rsidRPr="004329A7">
        <w:rPr>
          <w:bCs/>
          <w:szCs w:val="22"/>
        </w:rPr>
        <w:t>This study supports the state's megaproject investment as a way to generate financial gains through higher land value.</w:t>
      </w:r>
      <w:r w:rsidR="004329A7" w:rsidRPr="004329A7">
        <w:rPr>
          <w:bCs/>
          <w:szCs w:val="22"/>
        </w:rPr>
        <w:t xml:space="preserve"> </w:t>
      </w:r>
      <w:r w:rsidRPr="004329A7">
        <w:rPr>
          <w:bCs/>
          <w:szCs w:val="22"/>
        </w:rPr>
        <w:t>This could lead to more revenue through property taxes or land use, thus allowing the state to benefit from its investment.</w:t>
      </w:r>
      <w:r w:rsidR="004329A7" w:rsidRPr="004329A7">
        <w:rPr>
          <w:bCs/>
          <w:szCs w:val="22"/>
        </w:rPr>
        <w:t xml:space="preserve"> </w:t>
      </w:r>
      <w:r w:rsidRPr="004329A7">
        <w:rPr>
          <w:bCs/>
          <w:szCs w:val="22"/>
        </w:rPr>
        <w:t>This study quantitatively evaluates megaprojects' financial returns to the state, providing useful insights for academia and policy making.</w:t>
      </w:r>
      <w:r w:rsidR="004329A7" w:rsidRPr="004329A7">
        <w:rPr>
          <w:bCs/>
          <w:szCs w:val="22"/>
        </w:rPr>
        <w:t xml:space="preserve"> </w:t>
      </w:r>
      <w:r w:rsidRPr="004329A7">
        <w:rPr>
          <w:bCs/>
          <w:szCs w:val="22"/>
        </w:rPr>
        <w:t xml:space="preserve">However, this study had some limitations, mainly </w:t>
      </w:r>
      <w:r w:rsidRPr="004329A7">
        <w:rPr>
          <w:bCs/>
          <w:szCs w:val="22"/>
        </w:rPr>
        <w:lastRenderedPageBreak/>
        <w:t>in its spatial scope and cross-sectional data.</w:t>
      </w:r>
      <w:r w:rsidR="007B03ED">
        <w:rPr>
          <w:bCs/>
          <w:szCs w:val="22"/>
        </w:rPr>
        <w:t xml:space="preserve"> </w:t>
      </w:r>
      <w:r w:rsidR="007B03ED" w:rsidRPr="0022215E">
        <w:rPr>
          <w:bCs/>
          <w:color w:val="000000" w:themeColor="text1"/>
          <w:szCs w:val="22"/>
        </w:rPr>
        <w:t xml:space="preserve">The cross-sectional nature of the data limits the ability to definitively determine causality regarding the megaproject's impact over time. Access to longitudinal data tracking land values before and after the project's commencement would strengthen the empirical analysis. </w:t>
      </w:r>
      <w:r w:rsidR="00CD3F5A" w:rsidRPr="0022215E">
        <w:rPr>
          <w:bCs/>
          <w:color w:val="000000" w:themeColor="text1"/>
          <w:szCs w:val="22"/>
        </w:rPr>
        <w:t xml:space="preserve">There </w:t>
      </w:r>
      <w:r w:rsidR="007B03ED" w:rsidRPr="0022215E">
        <w:rPr>
          <w:bCs/>
          <w:color w:val="000000" w:themeColor="text1"/>
          <w:szCs w:val="22"/>
        </w:rPr>
        <w:t>is</w:t>
      </w:r>
      <w:r w:rsidR="00CD3F5A" w:rsidRPr="0022215E">
        <w:rPr>
          <w:bCs/>
          <w:color w:val="000000" w:themeColor="text1"/>
          <w:szCs w:val="22"/>
        </w:rPr>
        <w:t xml:space="preserve"> a plethora of ways for future research to build on the findings of this study.</w:t>
      </w:r>
      <w:r w:rsidR="004329A7" w:rsidRPr="0022215E">
        <w:rPr>
          <w:bCs/>
          <w:color w:val="000000" w:themeColor="text1"/>
          <w:szCs w:val="22"/>
        </w:rPr>
        <w:t xml:space="preserve"> </w:t>
      </w:r>
      <w:r w:rsidR="007B03ED" w:rsidRPr="0022215E">
        <w:rPr>
          <w:bCs/>
          <w:color w:val="000000" w:themeColor="text1"/>
          <w:szCs w:val="22"/>
        </w:rPr>
        <w:t xml:space="preserve">We suggest </w:t>
      </w:r>
      <w:r w:rsidR="00016AA8" w:rsidRPr="0022215E">
        <w:rPr>
          <w:bCs/>
          <w:color w:val="000000" w:themeColor="text1"/>
          <w:szCs w:val="22"/>
        </w:rPr>
        <w:t>incorporating</w:t>
      </w:r>
      <w:r w:rsidR="007B03ED" w:rsidRPr="0022215E">
        <w:rPr>
          <w:bCs/>
          <w:color w:val="000000" w:themeColor="text1"/>
          <w:szCs w:val="22"/>
        </w:rPr>
        <w:t xml:space="preserve"> longitudinal data to compile a panel data covering </w:t>
      </w:r>
      <w:r w:rsidR="00600BC8" w:rsidRPr="0022215E">
        <w:rPr>
          <w:bCs/>
          <w:color w:val="000000" w:themeColor="text1"/>
          <w:szCs w:val="22"/>
        </w:rPr>
        <w:t>historic observations and</w:t>
      </w:r>
      <w:r w:rsidR="007B03ED" w:rsidRPr="0022215E">
        <w:rPr>
          <w:bCs/>
          <w:color w:val="000000" w:themeColor="text1"/>
          <w:szCs w:val="22"/>
        </w:rPr>
        <w:t xml:space="preserve"> bracketing the megaproject timeline. Further research could also apply more advanced spatial econometric techniques to model spill over effects across property transactions. This would allow stronger causal claims regarding the development's influence in the private realm. Despite the data constraints, this cross-sectional analysis provides indicative evidence of capitalisation effects around the megaproject site. The results suggest that public policymakers may benefit from the land value uplift.</w:t>
      </w:r>
    </w:p>
    <w:p w14:paraId="77035761" w14:textId="77777777" w:rsidR="00E63498" w:rsidRPr="007F5D57" w:rsidRDefault="00E63498" w:rsidP="007F5D57">
      <w:pPr>
        <w:rPr>
          <w:rStyle w:val="c-pjlv"/>
          <w:b/>
          <w:bCs/>
          <w:i/>
          <w:iCs/>
        </w:rPr>
      </w:pPr>
    </w:p>
    <w:p w14:paraId="5063F884" w14:textId="04B2ABD3" w:rsidR="004329A7" w:rsidRPr="00703CFB" w:rsidRDefault="004329A7" w:rsidP="004329A7">
      <w:pPr>
        <w:pStyle w:val="Heading1"/>
      </w:pPr>
      <w:r>
        <w:t>Reference Lis</w:t>
      </w:r>
      <w:r w:rsidR="003605E1">
        <w:t>T</w:t>
      </w:r>
    </w:p>
    <w:sdt>
      <w:sdtPr>
        <w:rPr>
          <w:rStyle w:val="c-pjlv"/>
          <w:b/>
          <w:bCs/>
          <w:iCs/>
          <w:sz w:val="24"/>
          <w:szCs w:val="28"/>
        </w:rPr>
        <w:tag w:val="MENDELEY_BIBLIOGRAPHY"/>
        <w:id w:val="-1151598815"/>
        <w:placeholder>
          <w:docPart w:val="DefaultPlaceholder_-1854013440"/>
        </w:placeholder>
      </w:sdtPr>
      <w:sdtEndPr>
        <w:rPr>
          <w:rStyle w:val="c-pjlv"/>
          <w:iCs w:val="0"/>
        </w:rPr>
      </w:sdtEndPr>
      <w:sdtContent>
        <w:p w14:paraId="5776017C" w14:textId="77777777" w:rsidR="00607F6A" w:rsidRDefault="00607F6A">
          <w:pPr>
            <w:divId w:val="1843616147"/>
            <w:rPr>
              <w:sz w:val="24"/>
            </w:rPr>
          </w:pPr>
          <w:r>
            <w:t xml:space="preserve">Agostini, C.A. and Palmucci, G.A. (2008) ‘The anticipated capitalisation effect of a new metro line on housing prices’, </w:t>
          </w:r>
          <w:r>
            <w:rPr>
              <w:i/>
              <w:iCs/>
            </w:rPr>
            <w:t>Fiscal Studies</w:t>
          </w:r>
          <w:r>
            <w:t>, 29(2), pp. 233–256. Available at: https://doi.org/10.1111/j.1475-5890.2008.00074.x.</w:t>
          </w:r>
        </w:p>
        <w:p w14:paraId="6523D134" w14:textId="77777777" w:rsidR="00607F6A" w:rsidRDefault="00607F6A">
          <w:pPr>
            <w:divId w:val="269319117"/>
          </w:pPr>
          <w:r>
            <w:t xml:space="preserve">Australian Bureau of Statistics (2023) </w:t>
          </w:r>
          <w:r>
            <w:rPr>
              <w:i/>
              <w:iCs/>
            </w:rPr>
            <w:t>https://www.abs.gov.au/statistics/people/population/regional-population/2021-22#capital-cities</w:t>
          </w:r>
          <w:r>
            <w:t>.</w:t>
          </w:r>
        </w:p>
        <w:p w14:paraId="2A1DABF5" w14:textId="77777777" w:rsidR="00607F6A" w:rsidRDefault="00607F6A">
          <w:pPr>
            <w:divId w:val="151337848"/>
          </w:pPr>
          <w:r>
            <w:t xml:space="preserve">Banister, D. and Thurstain-Goodwin, M. (2011) ‘Quantification of the non-transport benefits resulting from rail investment’, </w:t>
          </w:r>
          <w:r>
            <w:rPr>
              <w:i/>
              <w:iCs/>
            </w:rPr>
            <w:t>Journal of Transport Geography</w:t>
          </w:r>
          <w:r>
            <w:t>, 19(2), pp. 212–223. Available at: https://doi.org/https://doi.org/10.1016/j.jtrangeo.2010.05.001.</w:t>
          </w:r>
        </w:p>
        <w:p w14:paraId="4F5A9757" w14:textId="77777777" w:rsidR="00607F6A" w:rsidRDefault="00607F6A">
          <w:pPr>
            <w:divId w:val="282006977"/>
          </w:pPr>
          <w:r>
            <w:t xml:space="preserve">Damayanti, R.W., Hartono, B. and Wijaya, A.R. (2021) ‘Clarifying Megaproject Complexity in Developing Countries: A Literature Review and Conceptual Study’, </w:t>
          </w:r>
          <w:r>
            <w:rPr>
              <w:i/>
              <w:iCs/>
            </w:rPr>
            <w:t>International Journal of Engineering Business Management</w:t>
          </w:r>
          <w:r>
            <w:t xml:space="preserve"> [Preprint]. Available at: https://doi.org/10.1177/18479790211027414.</w:t>
          </w:r>
        </w:p>
        <w:p w14:paraId="616CCD6E" w14:textId="77777777" w:rsidR="00607F6A" w:rsidRDefault="00607F6A">
          <w:pPr>
            <w:divId w:val="291523534"/>
          </w:pPr>
          <w:r>
            <w:t xml:space="preserve">Flyvbjerg, B. (2014) ‘What You Should Know About Megaprojects and Why: An Overview’, </w:t>
          </w:r>
          <w:r>
            <w:rPr>
              <w:i/>
              <w:iCs/>
            </w:rPr>
            <w:t>Project Management Journal</w:t>
          </w:r>
          <w:r>
            <w:t xml:space="preserve"> [Preprint]. Available at: https://doi.org/10.1002/pmj.21409.</w:t>
          </w:r>
        </w:p>
        <w:p w14:paraId="2611D339" w14:textId="77777777" w:rsidR="00607F6A" w:rsidRDefault="00607F6A">
          <w:pPr>
            <w:divId w:val="771166408"/>
          </w:pPr>
          <w:r>
            <w:t xml:space="preserve">Gibbons, S. and Machin, S. (2005) ‘Valuing rail access using transport innovations’, </w:t>
          </w:r>
          <w:r>
            <w:rPr>
              <w:i/>
              <w:iCs/>
            </w:rPr>
            <w:t>Journal of Urban Economics</w:t>
          </w:r>
          <w:r>
            <w:t>, 57(1), pp. 148–169. Available at: https://doi.org/10.1016/j.jue.2004.10.002.</w:t>
          </w:r>
        </w:p>
        <w:p w14:paraId="14E0F884" w14:textId="77777777" w:rsidR="00607F6A" w:rsidRDefault="00607F6A">
          <w:pPr>
            <w:divId w:val="1187527921"/>
          </w:pPr>
          <w:r>
            <w:t xml:space="preserve">Harris, M. (2016) ‘Barangaroo: Machiavellian megaproject or erosion of intent?’, in </w:t>
          </w:r>
          <w:r>
            <w:rPr>
              <w:i/>
              <w:iCs/>
            </w:rPr>
            <w:t>Urban Regeneration in Australia: Policies, Processes and Projects of Contemporary Urban Change</w:t>
          </w:r>
          <w:r>
            <w:t>. Taylor and Francis, pp. 111–134.</w:t>
          </w:r>
        </w:p>
        <w:p w14:paraId="15AAAC62" w14:textId="77777777" w:rsidR="00607F6A" w:rsidRDefault="00607F6A">
          <w:pPr>
            <w:divId w:val="1946764057"/>
          </w:pPr>
          <w:r>
            <w:t xml:space="preserve">Harris, M. (2017) ‘Competitive Precinct Projects: The Five Consistent Criticisms of “Global” Mixed-Use Megaprojects’, </w:t>
          </w:r>
          <w:r>
            <w:rPr>
              <w:i/>
              <w:iCs/>
            </w:rPr>
            <w:t>Project Management Journal</w:t>
          </w:r>
          <w:r>
            <w:t>, 48(6), pp. 76–92. Available at: https://doi.org/10.1177/875697281704800607.</w:t>
          </w:r>
        </w:p>
        <w:p w14:paraId="4FA3E991" w14:textId="77777777" w:rsidR="00607F6A" w:rsidRDefault="00607F6A">
          <w:pPr>
            <w:divId w:val="830367111"/>
          </w:pPr>
          <w:r>
            <w:t xml:space="preserve">Herath, S. and Jayasekare, A.S. (2021) ‘City proximity, travel modes and house prices: the three cities in Sydney’, </w:t>
          </w:r>
          <w:r>
            <w:rPr>
              <w:i/>
              <w:iCs/>
            </w:rPr>
            <w:t>Journal of Housing and the Built Environment</w:t>
          </w:r>
          <w:r>
            <w:t>, 36(2), pp. 407–431. Available at: https://doi.org/10.1007/S10901-020-09805-W.</w:t>
          </w:r>
        </w:p>
        <w:p w14:paraId="5E4441D5" w14:textId="77777777" w:rsidR="00607F6A" w:rsidRDefault="00607F6A">
          <w:pPr>
            <w:divId w:val="488981036"/>
          </w:pPr>
          <w:r>
            <w:t xml:space="preserve">Hübscher, M. (2019) ‘From Megaprojects to Tourism Gentrification? The Case of Santa Cruz Verde 2030 (Canary Islands, Spain)’, </w:t>
          </w:r>
          <w:r>
            <w:rPr>
              <w:i/>
              <w:iCs/>
            </w:rPr>
            <w:t>Boletín De La Asociación De Geógrafos Españoles</w:t>
          </w:r>
          <w:r>
            <w:t xml:space="preserve"> [Preprint]. Available at: https://doi.org/10.21138/bage.2813.</w:t>
          </w:r>
        </w:p>
        <w:p w14:paraId="7B9E6044" w14:textId="77777777" w:rsidR="00607F6A" w:rsidRDefault="00607F6A">
          <w:pPr>
            <w:divId w:val="935017103"/>
          </w:pPr>
          <w:r>
            <w:t xml:space="preserve">Khoshnoud, M., Sirmans, G.S. and Zietz, E.N. (2023) ‘The Evolution of Hedonic Pricing Models’, </w:t>
          </w:r>
          <w:r>
            <w:rPr>
              <w:i/>
              <w:iCs/>
            </w:rPr>
            <w:t>Journal of real estate literature</w:t>
          </w:r>
          <w:r>
            <w:t>, 31(1), pp. 1–47. Available at: https://doi.org/10.1080/09277544.2023.2201020.</w:t>
          </w:r>
        </w:p>
        <w:p w14:paraId="05E01362" w14:textId="77777777" w:rsidR="00607F6A" w:rsidRDefault="00607F6A">
          <w:pPr>
            <w:divId w:val="428620725"/>
          </w:pPr>
          <w:r>
            <w:t xml:space="preserve">Klingmann, A. (2022) ‘Rescripting Riyadh: How the Capital of Saudi Arabia Employs Urban Megaprojects as Catalysts to Enhance the Quality of Life Within the City’s Neighborhoods’, </w:t>
          </w:r>
          <w:r>
            <w:rPr>
              <w:i/>
              <w:iCs/>
            </w:rPr>
            <w:t>Journal of Place Management and Development</w:t>
          </w:r>
          <w:r>
            <w:t xml:space="preserve"> [Preprint]. Available at: https://doi.org/10.1108/jpmd-06-2021-0062.</w:t>
          </w:r>
        </w:p>
        <w:p w14:paraId="005441B1" w14:textId="77777777" w:rsidR="00607F6A" w:rsidRDefault="00607F6A">
          <w:pPr>
            <w:divId w:val="815561507"/>
          </w:pPr>
          <w:r>
            <w:t xml:space="preserve">Lancaster, K.J. (1966) ‘A New Approach to Consumer Theory’, </w:t>
          </w:r>
          <w:r>
            <w:rPr>
              <w:i/>
              <w:iCs/>
            </w:rPr>
            <w:t>The Journal of political economy</w:t>
          </w:r>
          <w:r>
            <w:t>, 74(2), pp. 132–157. Available at: https://doi.org/10.1086/259131.</w:t>
          </w:r>
        </w:p>
        <w:p w14:paraId="3B68C16C" w14:textId="77777777" w:rsidR="00607F6A" w:rsidRDefault="00607F6A">
          <w:pPr>
            <w:divId w:val="298582680"/>
          </w:pPr>
          <w:r>
            <w:t xml:space="preserve">Majoor, S. (2006) ‘Conditions for multiple land use in large-scale urban projects’, </w:t>
          </w:r>
          <w:r>
            <w:rPr>
              <w:i/>
              <w:iCs/>
            </w:rPr>
            <w:t>Journal of Housing and the Built Environment</w:t>
          </w:r>
          <w:r>
            <w:t>, 21(1), pp. 15–32. Available at: https://doi.org/10.1007/s10901-005-9030-5.</w:t>
          </w:r>
        </w:p>
        <w:p w14:paraId="3CD126D3" w14:textId="77777777" w:rsidR="00607F6A" w:rsidRDefault="00607F6A">
          <w:pPr>
            <w:divId w:val="2005744106"/>
          </w:pPr>
          <w:r>
            <w:t xml:space="preserve">McMillen, D.P. (1996) ‘One Hundred Fifty Years of Land Values in Chicago: A Nonparametric Approach’, </w:t>
          </w:r>
          <w:r>
            <w:rPr>
              <w:i/>
              <w:iCs/>
            </w:rPr>
            <w:t>Journal of urban economics</w:t>
          </w:r>
          <w:r>
            <w:t>, 40(1), pp. 100–124. Available at: https://doi.org/10.1006/juec.1996.0025.</w:t>
          </w:r>
        </w:p>
        <w:p w14:paraId="3ECB45AB" w14:textId="77777777" w:rsidR="00607F6A" w:rsidRDefault="00607F6A">
          <w:pPr>
            <w:divId w:val="1528986502"/>
          </w:pPr>
          <w:r>
            <w:lastRenderedPageBreak/>
            <w:t xml:space="preserve">Mevada, J. and Devkar, G. (2017) ‘Analysis of Reasons for Cost and Time Overrun in Indian Megaprojects’, </w:t>
          </w:r>
          <w:r>
            <w:rPr>
              <w:i/>
              <w:iCs/>
            </w:rPr>
            <w:t>Matec Web of Conferences</w:t>
          </w:r>
          <w:r>
            <w:t xml:space="preserve"> [Preprint]. Available at: https://doi.org/10.1051/matecconf/201712002018.</w:t>
          </w:r>
        </w:p>
        <w:p w14:paraId="173C82DF" w14:textId="77777777" w:rsidR="00607F6A" w:rsidRDefault="00607F6A">
          <w:pPr>
            <w:divId w:val="1993288531"/>
          </w:pPr>
          <w:r>
            <w:t xml:space="preserve">Parker, J. and Simpson, G.D. (2020) ‘A Theoretical Framework for Bolstering Human-Nature Connections and Urban Resilience via Green Infrastructure’, </w:t>
          </w:r>
          <w:r>
            <w:rPr>
              <w:i/>
              <w:iCs/>
            </w:rPr>
            <w:t>Land</w:t>
          </w:r>
          <w:r>
            <w:t xml:space="preserve"> [Preprint]. Available at: https://doi.org/10.3390/land9080252.</w:t>
          </w:r>
        </w:p>
        <w:p w14:paraId="07755F03" w14:textId="77777777" w:rsidR="00607F6A" w:rsidRDefault="00607F6A">
          <w:pPr>
            <w:divId w:val="418524958"/>
          </w:pPr>
          <w:r>
            <w:t xml:space="preserve">Perić, A. (2019) ‘Public Engagement Under Authoritarian Entrepreneurialism: The Belgrade Waterfront Project’, </w:t>
          </w:r>
          <w:r>
            <w:rPr>
              <w:i/>
              <w:iCs/>
            </w:rPr>
            <w:t>Urban Research &amp;Amp; Practice</w:t>
          </w:r>
          <w:r>
            <w:t xml:space="preserve"> [Preprint]. Available at: https://doi.org/10.1080/17535069.2019.1670469.</w:t>
          </w:r>
        </w:p>
        <w:p w14:paraId="3CCA99D5" w14:textId="77777777" w:rsidR="00607F6A" w:rsidRDefault="00607F6A">
          <w:pPr>
            <w:divId w:val="737090640"/>
          </w:pPr>
          <w:r>
            <w:t xml:space="preserve">Perić, A. and D’hondt, F. (2020) ‘Squandering the Territorial Capital in the Balkans? Urban Megaprojects Between Global Trends and Local Incentives’, </w:t>
          </w:r>
          <w:r>
            <w:rPr>
              <w:i/>
              <w:iCs/>
            </w:rPr>
            <w:t>Urban Design International</w:t>
          </w:r>
          <w:r>
            <w:t xml:space="preserve"> [Preprint]. Available at: https://doi.org/10.1057/s41289-020-00146-2.</w:t>
          </w:r>
        </w:p>
        <w:p w14:paraId="437C4C82" w14:textId="77777777" w:rsidR="00607F6A" w:rsidRDefault="00607F6A">
          <w:pPr>
            <w:divId w:val="716130320"/>
          </w:pPr>
          <w:r>
            <w:t xml:space="preserve">Pitsis, A. </w:t>
          </w:r>
          <w:r>
            <w:rPr>
              <w:i/>
              <w:iCs/>
            </w:rPr>
            <w:t>et al.</w:t>
          </w:r>
          <w:r>
            <w:t xml:space="preserve"> (2018a) ‘Megaprojects Redefined – Complexity vs Cost and Social Imperatives’, </w:t>
          </w:r>
          <w:r>
            <w:rPr>
              <w:i/>
              <w:iCs/>
            </w:rPr>
            <w:t>International Journal of Managing Projects in Business</w:t>
          </w:r>
          <w:r>
            <w:t xml:space="preserve"> [Preprint]. Available at: https://doi.org/10.1108/ijmpb-07-2017-0080.</w:t>
          </w:r>
        </w:p>
        <w:p w14:paraId="128FDFAF" w14:textId="77777777" w:rsidR="00607F6A" w:rsidRDefault="00607F6A">
          <w:pPr>
            <w:divId w:val="761537454"/>
          </w:pPr>
          <w:r>
            <w:t xml:space="preserve">Pitsis, A. </w:t>
          </w:r>
          <w:r>
            <w:rPr>
              <w:i/>
              <w:iCs/>
            </w:rPr>
            <w:t>et al.</w:t>
          </w:r>
          <w:r>
            <w:t xml:space="preserve"> (2018b) ‘Megaprojects redefined – complexity vs cost and social imperatives’, </w:t>
          </w:r>
          <w:r>
            <w:rPr>
              <w:i/>
              <w:iCs/>
            </w:rPr>
            <w:t>International Journal of Managing Projects in Business</w:t>
          </w:r>
          <w:r>
            <w:t>, 11(1), pp. 7–34. Available at: https://doi.org/10.1108/IJMPB-07-2017-0080.</w:t>
          </w:r>
        </w:p>
        <w:p w14:paraId="348508DA" w14:textId="77777777" w:rsidR="00607F6A" w:rsidRDefault="00607F6A">
          <w:pPr>
            <w:divId w:val="1780031532"/>
          </w:pPr>
          <w:r>
            <w:t xml:space="preserve">Rosen, S. (1974) ‘Hedonic Prices and Implicit Markets : Product Differentiation in Pure Competition’, </w:t>
          </w:r>
          <w:r>
            <w:rPr>
              <w:i/>
              <w:iCs/>
            </w:rPr>
            <w:t>Journal of Political Economy</w:t>
          </w:r>
          <w:r>
            <w:t>, 82(1), pp. 34–55.</w:t>
          </w:r>
        </w:p>
        <w:p w14:paraId="6EB16996" w14:textId="77777777" w:rsidR="00607F6A" w:rsidRDefault="00607F6A">
          <w:pPr>
            <w:divId w:val="1244726470"/>
          </w:pPr>
          <w:r>
            <w:t xml:space="preserve">Santamaría, G. del C. (2019) ‘Megaprojects, Development and Competitiveness: Building the Infrastructure for Globalization and Neoliberalism’, </w:t>
          </w:r>
          <w:r>
            <w:rPr>
              <w:i/>
              <w:iCs/>
            </w:rPr>
            <w:t>Athens Journal of Social Sciences</w:t>
          </w:r>
          <w:r>
            <w:t xml:space="preserve"> [Preprint]. Available at: https://doi.org/10.30958/ajss.6-4-1.</w:t>
          </w:r>
        </w:p>
        <w:p w14:paraId="272C89E4" w14:textId="77777777" w:rsidR="00607F6A" w:rsidRDefault="00607F6A">
          <w:pPr>
            <w:divId w:val="899556612"/>
          </w:pPr>
          <w:r>
            <w:t xml:space="preserve">Searle, G. and Legacy, C. (2019) ‘Australian Mega Transport Business Cases: Missing Costs and Benefits’, </w:t>
          </w:r>
          <w:r>
            <w:rPr>
              <w:i/>
              <w:iCs/>
            </w:rPr>
            <w:t>Urban Policy and Research</w:t>
          </w:r>
          <w:r>
            <w:t>, 37(4), pp. 458–473. Available at: https://doi.org/10.1080/08111146.2019.1663727.</w:t>
          </w:r>
        </w:p>
        <w:p w14:paraId="72B2C6F8" w14:textId="77777777" w:rsidR="00607F6A" w:rsidRDefault="00607F6A">
          <w:pPr>
            <w:divId w:val="413092854"/>
          </w:pPr>
          <w:r>
            <w:t xml:space="preserve">Slaughter, R.A. (2016) ‘How “development” promotes redundant visions: The case of the queen’s wharf casino project, Brisbane’, </w:t>
          </w:r>
          <w:r>
            <w:rPr>
              <w:i/>
              <w:iCs/>
            </w:rPr>
            <w:t>Journal of Futures Studies</w:t>
          </w:r>
          <w:r>
            <w:t>, 21(1), pp. 77–84. Available at: https://doi.org/10.6531/JFS.2016.21(1). E77.</w:t>
          </w:r>
        </w:p>
        <w:p w14:paraId="4F87FB73" w14:textId="77777777" w:rsidR="00607F6A" w:rsidRDefault="00607F6A">
          <w:pPr>
            <w:divId w:val="1266964092"/>
          </w:pPr>
          <w:r>
            <w:t xml:space="preserve">Swyngedouw, E., Moulaert, F. and Arantxa, R. (2002) ‘New Geographies of Power, Exclusion and Injustice Neoliberal Urbanization in Europe : Large-Scale Urban Development Projects and the New Urban Policy’, </w:t>
          </w:r>
          <w:r>
            <w:rPr>
              <w:i/>
              <w:iCs/>
            </w:rPr>
            <w:t>Antipode</w:t>
          </w:r>
          <w:r>
            <w:t>, 34, pp. 542–577. Available at: files/1630/1467-8330.00254 (1).pdf.</w:t>
          </w:r>
        </w:p>
        <w:p w14:paraId="67BD59DC" w14:textId="2EC63F13" w:rsidR="001259DE" w:rsidRPr="007F5D57" w:rsidRDefault="00607F6A" w:rsidP="007F5D57">
          <w:pPr>
            <w:pStyle w:val="Heading2"/>
          </w:pPr>
          <w:r>
            <w:lastRenderedPageBreak/>
            <w:t> </w:t>
          </w:r>
        </w:p>
      </w:sdtContent>
    </w:sdt>
    <w:p w14:paraId="733FA2FA" w14:textId="77777777" w:rsidR="004329A7" w:rsidRPr="00703CFB" w:rsidRDefault="004329A7" w:rsidP="004329A7">
      <w:pPr>
        <w:pStyle w:val="Heading1"/>
      </w:pPr>
      <w:r>
        <w:t>Appendix</w:t>
      </w:r>
    </w:p>
    <w:p w14:paraId="70F328E9" w14:textId="421F4E77" w:rsidR="004329A7" w:rsidRPr="007F5D57" w:rsidRDefault="004329A7" w:rsidP="007F5D57">
      <w:pPr>
        <w:pStyle w:val="ReferenceList"/>
        <w:keepNext/>
        <w:rPr>
          <w:sz w:val="20"/>
          <w:szCs w:val="20"/>
        </w:rPr>
      </w:pPr>
      <w:r w:rsidRPr="007F5D57">
        <w:rPr>
          <w:noProof/>
          <w:sz w:val="20"/>
          <w:szCs w:val="20"/>
        </w:rPr>
        <w:drawing>
          <wp:inline distT="0" distB="0" distL="0" distR="0" wp14:anchorId="4FB5F832" wp14:editId="156C73FD">
            <wp:extent cx="6120130" cy="5059680"/>
            <wp:effectExtent l="0" t="0" r="1270" b="0"/>
            <wp:docPr id="736984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984631" name=""/>
                    <pic:cNvPicPr/>
                  </pic:nvPicPr>
                  <pic:blipFill>
                    <a:blip r:embed="rId13"/>
                    <a:stretch>
                      <a:fillRect/>
                    </a:stretch>
                  </pic:blipFill>
                  <pic:spPr>
                    <a:xfrm>
                      <a:off x="0" y="0"/>
                      <a:ext cx="6120130" cy="5059680"/>
                    </a:xfrm>
                    <a:prstGeom prst="rect">
                      <a:avLst/>
                    </a:prstGeom>
                  </pic:spPr>
                </pic:pic>
              </a:graphicData>
            </a:graphic>
          </wp:inline>
        </w:drawing>
      </w:r>
    </w:p>
    <w:p w14:paraId="3B756F07" w14:textId="68DC8AD1" w:rsidR="004329A7" w:rsidRPr="007F5D57" w:rsidRDefault="004329A7" w:rsidP="004329A7">
      <w:pPr>
        <w:pStyle w:val="Caption"/>
        <w:rPr>
          <w:sz w:val="20"/>
        </w:rPr>
      </w:pPr>
      <w:r w:rsidRPr="007F5D57">
        <w:rPr>
          <w:sz w:val="20"/>
        </w:rPr>
        <w:t xml:space="preserve">Figure </w:t>
      </w:r>
      <w:r w:rsidRPr="007F5D57">
        <w:rPr>
          <w:sz w:val="20"/>
        </w:rPr>
        <w:fldChar w:fldCharType="begin"/>
      </w:r>
      <w:r w:rsidRPr="007F5D57">
        <w:rPr>
          <w:sz w:val="20"/>
        </w:rPr>
        <w:instrText xml:space="preserve"> SEQ Figure \* ARABIC </w:instrText>
      </w:r>
      <w:r w:rsidRPr="007F5D57">
        <w:rPr>
          <w:sz w:val="20"/>
        </w:rPr>
        <w:fldChar w:fldCharType="separate"/>
      </w:r>
      <w:r w:rsidR="00400EBB" w:rsidRPr="007F5D57">
        <w:rPr>
          <w:noProof/>
          <w:sz w:val="20"/>
        </w:rPr>
        <w:t>3</w:t>
      </w:r>
      <w:r w:rsidRPr="007F5D57">
        <w:rPr>
          <w:sz w:val="20"/>
        </w:rPr>
        <w:fldChar w:fldCharType="end"/>
      </w:r>
      <w:r w:rsidRPr="007F5D57">
        <w:rPr>
          <w:sz w:val="20"/>
        </w:rPr>
        <w:t>: Aerial View of the Study Area</w:t>
      </w:r>
    </w:p>
    <w:p w14:paraId="412D0ECB" w14:textId="77777777" w:rsidR="004329A7" w:rsidRDefault="004329A7" w:rsidP="00477E6B">
      <w:pPr>
        <w:pStyle w:val="ReferenceList"/>
        <w:sectPr w:rsidR="004329A7" w:rsidSect="00F070E8">
          <w:headerReference w:type="even" r:id="rId14"/>
          <w:headerReference w:type="default" r:id="rId15"/>
          <w:footerReference w:type="even" r:id="rId16"/>
          <w:footerReference w:type="default" r:id="rId17"/>
          <w:headerReference w:type="first" r:id="rId18"/>
          <w:footerReference w:type="first" r:id="rId19"/>
          <w:pgSz w:w="11906" w:h="16838"/>
          <w:pgMar w:top="1134" w:right="1134" w:bottom="1134" w:left="1134" w:header="425" w:footer="709" w:gutter="0"/>
          <w:cols w:space="708"/>
          <w:titlePg/>
          <w:docGrid w:linePitch="360"/>
        </w:sectPr>
      </w:pPr>
    </w:p>
    <w:tbl>
      <w:tblPr>
        <w:tblW w:w="14317" w:type="dxa"/>
        <w:tblLook w:val="04A0" w:firstRow="1" w:lastRow="0" w:firstColumn="1" w:lastColumn="0" w:noHBand="0" w:noVBand="1"/>
      </w:tblPr>
      <w:tblGrid>
        <w:gridCol w:w="1541"/>
        <w:gridCol w:w="1034"/>
        <w:gridCol w:w="1035"/>
        <w:gridCol w:w="1278"/>
        <w:gridCol w:w="1039"/>
        <w:gridCol w:w="1164"/>
        <w:gridCol w:w="1035"/>
        <w:gridCol w:w="1035"/>
        <w:gridCol w:w="1035"/>
        <w:gridCol w:w="1011"/>
        <w:gridCol w:w="1174"/>
        <w:gridCol w:w="1035"/>
        <w:gridCol w:w="1154"/>
      </w:tblGrid>
      <w:tr w:rsidR="00A85BE5" w:rsidRPr="004329A7" w14:paraId="2868DD9F" w14:textId="77777777" w:rsidTr="00A85BE5">
        <w:trPr>
          <w:trHeight w:val="320"/>
        </w:trPr>
        <w:tc>
          <w:tcPr>
            <w:tcW w:w="1601" w:type="dxa"/>
            <w:tcBorders>
              <w:top w:val="nil"/>
              <w:left w:val="nil"/>
              <w:bottom w:val="nil"/>
              <w:right w:val="nil"/>
            </w:tcBorders>
            <w:shd w:val="clear" w:color="auto" w:fill="auto"/>
            <w:noWrap/>
            <w:vAlign w:val="bottom"/>
            <w:hideMark/>
          </w:tcPr>
          <w:p w14:paraId="577AEF11" w14:textId="17B04E8C" w:rsidR="004329A7" w:rsidRPr="0009751C" w:rsidRDefault="004329A7" w:rsidP="007F5D57">
            <w:pPr>
              <w:pStyle w:val="Caption"/>
              <w:keepNext/>
              <w:jc w:val="left"/>
              <w:rPr>
                <w:sz w:val="18"/>
                <w:szCs w:val="18"/>
              </w:rPr>
            </w:pPr>
            <w:r w:rsidRPr="0009751C">
              <w:rPr>
                <w:sz w:val="18"/>
                <w:szCs w:val="18"/>
              </w:rPr>
              <w:lastRenderedPageBreak/>
              <w:t xml:space="preserve">Table </w:t>
            </w:r>
            <w:r w:rsidR="003605E1" w:rsidRPr="0009751C">
              <w:rPr>
                <w:sz w:val="18"/>
                <w:szCs w:val="18"/>
              </w:rPr>
              <w:t>4</w:t>
            </w:r>
            <w:r w:rsidRPr="0009751C">
              <w:rPr>
                <w:sz w:val="18"/>
                <w:szCs w:val="18"/>
              </w:rPr>
              <w:t xml:space="preserve"> Correlation Matrix</w:t>
            </w:r>
          </w:p>
          <w:p w14:paraId="08F2944D" w14:textId="77777777" w:rsidR="004329A7" w:rsidRPr="0009751C" w:rsidRDefault="004329A7" w:rsidP="007F5D57">
            <w:pPr>
              <w:jc w:val="left"/>
              <w:rPr>
                <w:sz w:val="18"/>
                <w:szCs w:val="18"/>
              </w:rPr>
            </w:pPr>
          </w:p>
        </w:tc>
        <w:tc>
          <w:tcPr>
            <w:tcW w:w="1071" w:type="dxa"/>
            <w:tcBorders>
              <w:top w:val="nil"/>
              <w:left w:val="nil"/>
              <w:bottom w:val="nil"/>
              <w:right w:val="nil"/>
            </w:tcBorders>
            <w:shd w:val="clear" w:color="auto" w:fill="auto"/>
            <w:noWrap/>
            <w:vAlign w:val="bottom"/>
            <w:hideMark/>
          </w:tcPr>
          <w:p w14:paraId="5D2FFFE0" w14:textId="77777777" w:rsidR="004329A7" w:rsidRPr="0009751C" w:rsidRDefault="004329A7" w:rsidP="007F5D57">
            <w:pPr>
              <w:jc w:val="left"/>
              <w:rPr>
                <w:color w:val="000000"/>
                <w:sz w:val="18"/>
                <w:szCs w:val="18"/>
              </w:rPr>
            </w:pPr>
            <w:r w:rsidRPr="0009751C">
              <w:rPr>
                <w:color w:val="000000"/>
                <w:sz w:val="18"/>
                <w:szCs w:val="18"/>
              </w:rPr>
              <w:t>LAT</w:t>
            </w:r>
          </w:p>
        </w:tc>
        <w:tc>
          <w:tcPr>
            <w:tcW w:w="1071" w:type="dxa"/>
            <w:tcBorders>
              <w:top w:val="nil"/>
              <w:left w:val="nil"/>
              <w:bottom w:val="nil"/>
              <w:right w:val="nil"/>
            </w:tcBorders>
            <w:shd w:val="clear" w:color="auto" w:fill="auto"/>
            <w:noWrap/>
            <w:vAlign w:val="bottom"/>
            <w:hideMark/>
          </w:tcPr>
          <w:p w14:paraId="15780D2B" w14:textId="77777777" w:rsidR="004329A7" w:rsidRPr="0009751C" w:rsidRDefault="004329A7" w:rsidP="005455A9">
            <w:pPr>
              <w:rPr>
                <w:color w:val="000000"/>
                <w:sz w:val="18"/>
                <w:szCs w:val="18"/>
              </w:rPr>
            </w:pPr>
            <w:r w:rsidRPr="0009751C">
              <w:rPr>
                <w:color w:val="000000"/>
                <w:sz w:val="18"/>
                <w:szCs w:val="18"/>
              </w:rPr>
              <w:t>LONG</w:t>
            </w:r>
          </w:p>
        </w:tc>
        <w:tc>
          <w:tcPr>
            <w:tcW w:w="1325" w:type="dxa"/>
            <w:tcBorders>
              <w:top w:val="nil"/>
              <w:left w:val="nil"/>
              <w:bottom w:val="nil"/>
              <w:right w:val="nil"/>
            </w:tcBorders>
            <w:shd w:val="clear" w:color="auto" w:fill="auto"/>
            <w:noWrap/>
            <w:vAlign w:val="bottom"/>
            <w:hideMark/>
          </w:tcPr>
          <w:p w14:paraId="399DE777" w14:textId="77777777" w:rsidR="004329A7" w:rsidRPr="0009751C" w:rsidRDefault="004329A7" w:rsidP="005455A9">
            <w:pPr>
              <w:rPr>
                <w:color w:val="000000"/>
                <w:sz w:val="18"/>
                <w:szCs w:val="18"/>
              </w:rPr>
            </w:pPr>
            <w:r w:rsidRPr="0009751C">
              <w:rPr>
                <w:color w:val="000000"/>
                <w:sz w:val="18"/>
                <w:szCs w:val="18"/>
              </w:rPr>
              <w:t>Current valuation (A$)</w:t>
            </w:r>
          </w:p>
        </w:tc>
        <w:tc>
          <w:tcPr>
            <w:tcW w:w="1075" w:type="dxa"/>
            <w:tcBorders>
              <w:top w:val="nil"/>
              <w:left w:val="nil"/>
              <w:bottom w:val="nil"/>
              <w:right w:val="nil"/>
            </w:tcBorders>
            <w:shd w:val="clear" w:color="auto" w:fill="auto"/>
            <w:noWrap/>
            <w:vAlign w:val="bottom"/>
            <w:hideMark/>
          </w:tcPr>
          <w:p w14:paraId="79C58696" w14:textId="77777777" w:rsidR="004329A7" w:rsidRPr="0009751C" w:rsidRDefault="004329A7" w:rsidP="005455A9">
            <w:pPr>
              <w:rPr>
                <w:color w:val="000000"/>
                <w:sz w:val="18"/>
                <w:szCs w:val="18"/>
              </w:rPr>
            </w:pPr>
            <w:r w:rsidRPr="0009751C">
              <w:rPr>
                <w:color w:val="000000"/>
                <w:sz w:val="18"/>
                <w:szCs w:val="18"/>
              </w:rPr>
              <w:t>Property area</w:t>
            </w:r>
          </w:p>
        </w:tc>
        <w:tc>
          <w:tcPr>
            <w:tcW w:w="1206" w:type="dxa"/>
            <w:tcBorders>
              <w:top w:val="nil"/>
              <w:left w:val="nil"/>
              <w:bottom w:val="nil"/>
              <w:right w:val="nil"/>
            </w:tcBorders>
            <w:shd w:val="clear" w:color="auto" w:fill="auto"/>
            <w:noWrap/>
            <w:vAlign w:val="bottom"/>
            <w:hideMark/>
          </w:tcPr>
          <w:p w14:paraId="29C917D6" w14:textId="77777777" w:rsidR="004329A7" w:rsidRPr="0009751C" w:rsidRDefault="004329A7" w:rsidP="005455A9">
            <w:pPr>
              <w:rPr>
                <w:color w:val="000000"/>
                <w:sz w:val="18"/>
                <w:szCs w:val="18"/>
              </w:rPr>
            </w:pPr>
            <w:r w:rsidRPr="0009751C">
              <w:rPr>
                <w:color w:val="000000"/>
                <w:sz w:val="18"/>
                <w:szCs w:val="18"/>
              </w:rPr>
              <w:t>Valuation rate</w:t>
            </w:r>
          </w:p>
        </w:tc>
        <w:tc>
          <w:tcPr>
            <w:tcW w:w="1071" w:type="dxa"/>
            <w:tcBorders>
              <w:top w:val="nil"/>
              <w:left w:val="nil"/>
              <w:bottom w:val="nil"/>
              <w:right w:val="nil"/>
            </w:tcBorders>
            <w:shd w:val="clear" w:color="auto" w:fill="auto"/>
            <w:noWrap/>
            <w:vAlign w:val="bottom"/>
            <w:hideMark/>
          </w:tcPr>
          <w:p w14:paraId="22A44370" w14:textId="77777777" w:rsidR="004329A7" w:rsidRPr="0009751C" w:rsidRDefault="004329A7" w:rsidP="005455A9">
            <w:pPr>
              <w:rPr>
                <w:color w:val="000000"/>
                <w:sz w:val="18"/>
                <w:szCs w:val="18"/>
              </w:rPr>
            </w:pPr>
            <w:r w:rsidRPr="0009751C">
              <w:rPr>
                <w:color w:val="000000"/>
                <w:sz w:val="18"/>
                <w:szCs w:val="18"/>
              </w:rPr>
              <w:t>Property Id</w:t>
            </w:r>
          </w:p>
        </w:tc>
        <w:tc>
          <w:tcPr>
            <w:tcW w:w="1071" w:type="dxa"/>
            <w:tcBorders>
              <w:top w:val="nil"/>
              <w:left w:val="nil"/>
              <w:bottom w:val="nil"/>
              <w:right w:val="nil"/>
            </w:tcBorders>
            <w:shd w:val="clear" w:color="auto" w:fill="auto"/>
            <w:noWrap/>
            <w:vAlign w:val="bottom"/>
            <w:hideMark/>
          </w:tcPr>
          <w:p w14:paraId="12BBD93C" w14:textId="77777777" w:rsidR="004329A7" w:rsidRPr="0009751C" w:rsidRDefault="004329A7" w:rsidP="005455A9">
            <w:pPr>
              <w:rPr>
                <w:color w:val="000000"/>
                <w:sz w:val="18"/>
                <w:szCs w:val="18"/>
              </w:rPr>
            </w:pPr>
            <w:r w:rsidRPr="0009751C">
              <w:rPr>
                <w:color w:val="000000"/>
                <w:sz w:val="18"/>
                <w:szCs w:val="18"/>
              </w:rPr>
              <w:t>Total lots</w:t>
            </w:r>
          </w:p>
        </w:tc>
        <w:tc>
          <w:tcPr>
            <w:tcW w:w="1071" w:type="dxa"/>
            <w:tcBorders>
              <w:top w:val="nil"/>
              <w:left w:val="nil"/>
              <w:bottom w:val="nil"/>
              <w:right w:val="nil"/>
            </w:tcBorders>
            <w:shd w:val="clear" w:color="auto" w:fill="auto"/>
            <w:noWrap/>
            <w:vAlign w:val="bottom"/>
            <w:hideMark/>
          </w:tcPr>
          <w:p w14:paraId="4B899974" w14:textId="7629DB52" w:rsidR="004329A7" w:rsidRPr="0009751C" w:rsidRDefault="004329A7" w:rsidP="005455A9">
            <w:pPr>
              <w:rPr>
                <w:color w:val="000000"/>
                <w:sz w:val="18"/>
                <w:szCs w:val="18"/>
              </w:rPr>
            </w:pPr>
            <w:r w:rsidRPr="0009751C">
              <w:rPr>
                <w:color w:val="000000"/>
                <w:sz w:val="18"/>
                <w:szCs w:val="18"/>
              </w:rPr>
              <w:t>Within</w:t>
            </w:r>
            <w:r w:rsidR="00A85BE5">
              <w:rPr>
                <w:color w:val="000000"/>
                <w:sz w:val="18"/>
                <w:szCs w:val="18"/>
              </w:rPr>
              <w:t xml:space="preserve"> </w:t>
            </w:r>
            <w:r w:rsidRPr="0009751C">
              <w:rPr>
                <w:color w:val="000000"/>
                <w:sz w:val="18"/>
                <w:szCs w:val="18"/>
              </w:rPr>
              <w:t>Precinct</w:t>
            </w:r>
          </w:p>
        </w:tc>
        <w:tc>
          <w:tcPr>
            <w:tcW w:w="1046" w:type="dxa"/>
            <w:tcBorders>
              <w:top w:val="nil"/>
              <w:left w:val="nil"/>
              <w:bottom w:val="nil"/>
              <w:right w:val="nil"/>
            </w:tcBorders>
            <w:shd w:val="clear" w:color="auto" w:fill="auto"/>
            <w:noWrap/>
            <w:vAlign w:val="bottom"/>
            <w:hideMark/>
          </w:tcPr>
          <w:p w14:paraId="78D0DBFE" w14:textId="648FAD9B" w:rsidR="004329A7" w:rsidRPr="0009751C" w:rsidRDefault="004329A7" w:rsidP="005455A9">
            <w:pPr>
              <w:rPr>
                <w:color w:val="000000"/>
                <w:sz w:val="18"/>
                <w:szCs w:val="18"/>
              </w:rPr>
            </w:pPr>
            <w:r w:rsidRPr="0009751C">
              <w:rPr>
                <w:color w:val="000000"/>
                <w:sz w:val="18"/>
                <w:szCs w:val="18"/>
              </w:rPr>
              <w:t>DistanceTo</w:t>
            </w:r>
            <w:r w:rsidR="00A85BE5">
              <w:rPr>
                <w:color w:val="000000"/>
                <w:sz w:val="18"/>
                <w:szCs w:val="18"/>
              </w:rPr>
              <w:t xml:space="preserve"> </w:t>
            </w:r>
            <w:r w:rsidRPr="0009751C">
              <w:rPr>
                <w:color w:val="000000"/>
                <w:sz w:val="18"/>
                <w:szCs w:val="18"/>
              </w:rPr>
              <w:t>Project</w:t>
            </w:r>
          </w:p>
        </w:tc>
        <w:tc>
          <w:tcPr>
            <w:tcW w:w="1216" w:type="dxa"/>
            <w:tcBorders>
              <w:top w:val="nil"/>
              <w:left w:val="nil"/>
              <w:bottom w:val="nil"/>
              <w:right w:val="nil"/>
            </w:tcBorders>
            <w:shd w:val="clear" w:color="auto" w:fill="auto"/>
            <w:noWrap/>
            <w:vAlign w:val="bottom"/>
            <w:hideMark/>
          </w:tcPr>
          <w:p w14:paraId="7F948BD7" w14:textId="77777777" w:rsidR="004329A7" w:rsidRPr="0009751C" w:rsidRDefault="004329A7" w:rsidP="005455A9">
            <w:pPr>
              <w:rPr>
                <w:color w:val="000000"/>
                <w:sz w:val="18"/>
                <w:szCs w:val="18"/>
              </w:rPr>
            </w:pPr>
            <w:r w:rsidRPr="0009751C">
              <w:rPr>
                <w:color w:val="000000"/>
                <w:sz w:val="18"/>
                <w:szCs w:val="18"/>
              </w:rPr>
              <w:t>Within_400m</w:t>
            </w:r>
          </w:p>
        </w:tc>
        <w:tc>
          <w:tcPr>
            <w:tcW w:w="1071" w:type="dxa"/>
            <w:tcBorders>
              <w:top w:val="nil"/>
              <w:left w:val="nil"/>
              <w:bottom w:val="nil"/>
              <w:right w:val="nil"/>
            </w:tcBorders>
            <w:shd w:val="clear" w:color="auto" w:fill="auto"/>
            <w:noWrap/>
            <w:vAlign w:val="bottom"/>
            <w:hideMark/>
          </w:tcPr>
          <w:p w14:paraId="0543021C" w14:textId="77777777" w:rsidR="00A85BE5" w:rsidRDefault="004329A7" w:rsidP="005455A9">
            <w:pPr>
              <w:rPr>
                <w:color w:val="000000"/>
                <w:sz w:val="18"/>
                <w:szCs w:val="18"/>
              </w:rPr>
            </w:pPr>
            <w:r w:rsidRPr="0009751C">
              <w:rPr>
                <w:color w:val="000000"/>
                <w:sz w:val="18"/>
                <w:szCs w:val="18"/>
              </w:rPr>
              <w:t>Between_</w:t>
            </w:r>
          </w:p>
          <w:p w14:paraId="00C5BEF4" w14:textId="7AE02D9E" w:rsidR="004329A7" w:rsidRPr="0009751C" w:rsidRDefault="004329A7" w:rsidP="005455A9">
            <w:pPr>
              <w:rPr>
                <w:color w:val="000000"/>
                <w:sz w:val="18"/>
                <w:szCs w:val="18"/>
              </w:rPr>
            </w:pPr>
            <w:r w:rsidRPr="0009751C">
              <w:rPr>
                <w:color w:val="000000"/>
                <w:sz w:val="18"/>
                <w:szCs w:val="18"/>
              </w:rPr>
              <w:t>400_800m</w:t>
            </w:r>
          </w:p>
        </w:tc>
        <w:tc>
          <w:tcPr>
            <w:tcW w:w="422" w:type="dxa"/>
            <w:tcBorders>
              <w:top w:val="nil"/>
              <w:left w:val="nil"/>
              <w:bottom w:val="nil"/>
              <w:right w:val="nil"/>
            </w:tcBorders>
            <w:shd w:val="clear" w:color="auto" w:fill="auto"/>
            <w:noWrap/>
            <w:vAlign w:val="bottom"/>
            <w:hideMark/>
          </w:tcPr>
          <w:p w14:paraId="3D3B5641" w14:textId="77777777" w:rsidR="004329A7" w:rsidRPr="0009751C" w:rsidRDefault="004329A7" w:rsidP="005455A9">
            <w:pPr>
              <w:rPr>
                <w:color w:val="000000"/>
                <w:sz w:val="18"/>
                <w:szCs w:val="18"/>
              </w:rPr>
            </w:pPr>
            <w:r w:rsidRPr="0009751C">
              <w:rPr>
                <w:color w:val="000000"/>
                <w:sz w:val="18"/>
                <w:szCs w:val="18"/>
              </w:rPr>
              <w:t>Above_800m</w:t>
            </w:r>
          </w:p>
        </w:tc>
      </w:tr>
      <w:tr w:rsidR="00A85BE5" w:rsidRPr="004329A7" w14:paraId="64DC1537" w14:textId="77777777" w:rsidTr="00A85BE5">
        <w:trPr>
          <w:trHeight w:val="320"/>
        </w:trPr>
        <w:tc>
          <w:tcPr>
            <w:tcW w:w="1601" w:type="dxa"/>
            <w:tcBorders>
              <w:top w:val="nil"/>
              <w:left w:val="nil"/>
              <w:bottom w:val="nil"/>
              <w:right w:val="nil"/>
            </w:tcBorders>
            <w:shd w:val="clear" w:color="auto" w:fill="auto"/>
            <w:noWrap/>
            <w:vAlign w:val="bottom"/>
            <w:hideMark/>
          </w:tcPr>
          <w:p w14:paraId="5A0AF22E" w14:textId="77777777" w:rsidR="004329A7" w:rsidRPr="0009751C" w:rsidRDefault="004329A7" w:rsidP="005455A9">
            <w:pPr>
              <w:rPr>
                <w:color w:val="000000"/>
                <w:sz w:val="18"/>
                <w:szCs w:val="18"/>
              </w:rPr>
            </w:pPr>
            <w:r w:rsidRPr="0009751C">
              <w:rPr>
                <w:color w:val="000000"/>
                <w:sz w:val="18"/>
                <w:szCs w:val="18"/>
              </w:rPr>
              <w:t>LAT</w:t>
            </w:r>
          </w:p>
        </w:tc>
        <w:tc>
          <w:tcPr>
            <w:tcW w:w="1071" w:type="dxa"/>
            <w:tcBorders>
              <w:top w:val="nil"/>
              <w:left w:val="nil"/>
              <w:bottom w:val="nil"/>
              <w:right w:val="nil"/>
            </w:tcBorders>
            <w:shd w:val="clear" w:color="auto" w:fill="auto"/>
            <w:noWrap/>
            <w:vAlign w:val="bottom"/>
            <w:hideMark/>
          </w:tcPr>
          <w:p w14:paraId="70F9AB3F" w14:textId="77777777" w:rsidR="004329A7" w:rsidRPr="0009751C" w:rsidRDefault="004329A7" w:rsidP="005455A9">
            <w:pPr>
              <w:jc w:val="right"/>
              <w:rPr>
                <w:color w:val="000000"/>
                <w:sz w:val="18"/>
                <w:szCs w:val="18"/>
              </w:rPr>
            </w:pPr>
            <w:r w:rsidRPr="0009751C">
              <w:rPr>
                <w:color w:val="000000"/>
                <w:sz w:val="18"/>
                <w:szCs w:val="18"/>
              </w:rPr>
              <w:t>1</w:t>
            </w:r>
          </w:p>
        </w:tc>
        <w:tc>
          <w:tcPr>
            <w:tcW w:w="1071" w:type="dxa"/>
            <w:tcBorders>
              <w:top w:val="nil"/>
              <w:left w:val="nil"/>
              <w:bottom w:val="nil"/>
              <w:right w:val="nil"/>
            </w:tcBorders>
            <w:shd w:val="clear" w:color="auto" w:fill="auto"/>
            <w:noWrap/>
            <w:vAlign w:val="bottom"/>
            <w:hideMark/>
          </w:tcPr>
          <w:p w14:paraId="352B763D" w14:textId="2FDB9B15" w:rsidR="004329A7" w:rsidRPr="0009751C" w:rsidRDefault="004329A7" w:rsidP="005455A9">
            <w:pPr>
              <w:jc w:val="right"/>
              <w:rPr>
                <w:color w:val="000000"/>
                <w:sz w:val="18"/>
                <w:szCs w:val="18"/>
              </w:rPr>
            </w:pPr>
            <w:r w:rsidRPr="0009751C">
              <w:rPr>
                <w:color w:val="000000"/>
                <w:sz w:val="18"/>
                <w:szCs w:val="18"/>
              </w:rPr>
              <w:t>0.381874</w:t>
            </w:r>
            <w:r w:rsidR="00256A36">
              <w:rPr>
                <w:color w:val="000000"/>
                <w:sz w:val="18"/>
                <w:szCs w:val="18"/>
              </w:rPr>
              <w:t>9</w:t>
            </w:r>
          </w:p>
        </w:tc>
        <w:tc>
          <w:tcPr>
            <w:tcW w:w="1325" w:type="dxa"/>
            <w:tcBorders>
              <w:top w:val="nil"/>
              <w:left w:val="nil"/>
              <w:bottom w:val="nil"/>
              <w:right w:val="nil"/>
            </w:tcBorders>
            <w:shd w:val="clear" w:color="auto" w:fill="auto"/>
            <w:noWrap/>
            <w:vAlign w:val="bottom"/>
            <w:hideMark/>
          </w:tcPr>
          <w:p w14:paraId="5F63E0A5" w14:textId="16D940D5" w:rsidR="004329A7" w:rsidRPr="0009751C" w:rsidRDefault="004329A7" w:rsidP="005455A9">
            <w:pPr>
              <w:jc w:val="right"/>
              <w:rPr>
                <w:color w:val="000000"/>
                <w:sz w:val="18"/>
                <w:szCs w:val="18"/>
              </w:rPr>
            </w:pPr>
            <w:r w:rsidRPr="0009751C">
              <w:rPr>
                <w:color w:val="000000"/>
                <w:sz w:val="18"/>
                <w:szCs w:val="18"/>
              </w:rPr>
              <w:t>0.094334</w:t>
            </w:r>
          </w:p>
        </w:tc>
        <w:tc>
          <w:tcPr>
            <w:tcW w:w="1075" w:type="dxa"/>
            <w:tcBorders>
              <w:top w:val="nil"/>
              <w:left w:val="nil"/>
              <w:bottom w:val="nil"/>
              <w:right w:val="nil"/>
            </w:tcBorders>
            <w:shd w:val="clear" w:color="auto" w:fill="auto"/>
            <w:noWrap/>
            <w:vAlign w:val="bottom"/>
            <w:hideMark/>
          </w:tcPr>
          <w:p w14:paraId="15ADF5A8" w14:textId="65B7829A" w:rsidR="004329A7" w:rsidRPr="0009751C" w:rsidRDefault="004329A7" w:rsidP="005455A9">
            <w:pPr>
              <w:jc w:val="right"/>
              <w:rPr>
                <w:color w:val="000000"/>
                <w:sz w:val="18"/>
                <w:szCs w:val="18"/>
              </w:rPr>
            </w:pPr>
            <w:r w:rsidRPr="0009751C">
              <w:rPr>
                <w:color w:val="000000"/>
                <w:sz w:val="18"/>
                <w:szCs w:val="18"/>
              </w:rPr>
              <w:t>-0.067759</w:t>
            </w:r>
          </w:p>
        </w:tc>
        <w:tc>
          <w:tcPr>
            <w:tcW w:w="1206" w:type="dxa"/>
            <w:tcBorders>
              <w:top w:val="nil"/>
              <w:left w:val="nil"/>
              <w:bottom w:val="nil"/>
              <w:right w:val="nil"/>
            </w:tcBorders>
            <w:shd w:val="clear" w:color="auto" w:fill="auto"/>
            <w:noWrap/>
            <w:vAlign w:val="bottom"/>
            <w:hideMark/>
          </w:tcPr>
          <w:p w14:paraId="4DB5EE18" w14:textId="24A88258" w:rsidR="004329A7" w:rsidRPr="0009751C" w:rsidRDefault="004329A7" w:rsidP="005455A9">
            <w:pPr>
              <w:jc w:val="right"/>
              <w:rPr>
                <w:color w:val="000000"/>
                <w:sz w:val="18"/>
                <w:szCs w:val="18"/>
              </w:rPr>
            </w:pPr>
            <w:r w:rsidRPr="0009751C">
              <w:rPr>
                <w:color w:val="000000"/>
                <w:sz w:val="18"/>
                <w:szCs w:val="18"/>
              </w:rPr>
              <w:t>-0.03011</w:t>
            </w:r>
          </w:p>
        </w:tc>
        <w:tc>
          <w:tcPr>
            <w:tcW w:w="1071" w:type="dxa"/>
            <w:tcBorders>
              <w:top w:val="nil"/>
              <w:left w:val="nil"/>
              <w:bottom w:val="nil"/>
              <w:right w:val="nil"/>
            </w:tcBorders>
            <w:shd w:val="clear" w:color="auto" w:fill="auto"/>
            <w:noWrap/>
            <w:vAlign w:val="bottom"/>
            <w:hideMark/>
          </w:tcPr>
          <w:p w14:paraId="577BF42C" w14:textId="61A241D1" w:rsidR="004329A7" w:rsidRPr="0009751C" w:rsidRDefault="004329A7" w:rsidP="005455A9">
            <w:pPr>
              <w:jc w:val="right"/>
              <w:rPr>
                <w:color w:val="000000"/>
                <w:sz w:val="18"/>
                <w:szCs w:val="18"/>
              </w:rPr>
            </w:pPr>
            <w:r w:rsidRPr="0009751C">
              <w:rPr>
                <w:color w:val="000000"/>
                <w:sz w:val="18"/>
                <w:szCs w:val="18"/>
              </w:rPr>
              <w:t>-0.27761</w:t>
            </w:r>
            <w:r w:rsidR="00D812C8">
              <w:rPr>
                <w:color w:val="000000"/>
                <w:sz w:val="18"/>
                <w:szCs w:val="18"/>
              </w:rPr>
              <w:t>3</w:t>
            </w:r>
          </w:p>
        </w:tc>
        <w:tc>
          <w:tcPr>
            <w:tcW w:w="1071" w:type="dxa"/>
            <w:tcBorders>
              <w:top w:val="nil"/>
              <w:left w:val="nil"/>
              <w:bottom w:val="nil"/>
              <w:right w:val="nil"/>
            </w:tcBorders>
            <w:shd w:val="clear" w:color="auto" w:fill="auto"/>
            <w:noWrap/>
            <w:vAlign w:val="bottom"/>
            <w:hideMark/>
          </w:tcPr>
          <w:p w14:paraId="49531393" w14:textId="0D80EC10" w:rsidR="004329A7" w:rsidRPr="0009751C" w:rsidRDefault="004329A7" w:rsidP="005455A9">
            <w:pPr>
              <w:jc w:val="right"/>
              <w:rPr>
                <w:color w:val="000000"/>
                <w:sz w:val="18"/>
                <w:szCs w:val="18"/>
              </w:rPr>
            </w:pPr>
            <w:r w:rsidRPr="0009751C">
              <w:rPr>
                <w:color w:val="000000"/>
                <w:sz w:val="18"/>
                <w:szCs w:val="18"/>
              </w:rPr>
              <w:t>-0.077165</w:t>
            </w:r>
          </w:p>
        </w:tc>
        <w:tc>
          <w:tcPr>
            <w:tcW w:w="1071" w:type="dxa"/>
            <w:tcBorders>
              <w:top w:val="nil"/>
              <w:left w:val="nil"/>
              <w:bottom w:val="nil"/>
              <w:right w:val="nil"/>
            </w:tcBorders>
            <w:shd w:val="clear" w:color="auto" w:fill="auto"/>
            <w:noWrap/>
            <w:vAlign w:val="bottom"/>
            <w:hideMark/>
          </w:tcPr>
          <w:p w14:paraId="1322D535" w14:textId="13A7F425" w:rsidR="004329A7" w:rsidRPr="0009751C" w:rsidRDefault="004329A7" w:rsidP="005455A9">
            <w:pPr>
              <w:jc w:val="right"/>
              <w:rPr>
                <w:color w:val="000000"/>
                <w:sz w:val="18"/>
                <w:szCs w:val="18"/>
              </w:rPr>
            </w:pPr>
            <w:r w:rsidRPr="0009751C">
              <w:rPr>
                <w:color w:val="000000"/>
                <w:sz w:val="18"/>
                <w:szCs w:val="18"/>
              </w:rPr>
              <w:t>-0.05666</w:t>
            </w:r>
            <w:r w:rsidR="003E228A">
              <w:rPr>
                <w:color w:val="000000"/>
                <w:sz w:val="18"/>
                <w:szCs w:val="18"/>
              </w:rPr>
              <w:t>6</w:t>
            </w:r>
          </w:p>
        </w:tc>
        <w:tc>
          <w:tcPr>
            <w:tcW w:w="1046" w:type="dxa"/>
            <w:tcBorders>
              <w:top w:val="nil"/>
              <w:left w:val="nil"/>
              <w:bottom w:val="nil"/>
              <w:right w:val="nil"/>
            </w:tcBorders>
            <w:shd w:val="clear" w:color="auto" w:fill="auto"/>
            <w:noWrap/>
            <w:vAlign w:val="bottom"/>
            <w:hideMark/>
          </w:tcPr>
          <w:p w14:paraId="3A5A0DD3" w14:textId="2D4DF92C" w:rsidR="004329A7" w:rsidRPr="0009751C" w:rsidRDefault="004329A7" w:rsidP="005455A9">
            <w:pPr>
              <w:jc w:val="right"/>
              <w:rPr>
                <w:color w:val="000000"/>
                <w:sz w:val="18"/>
                <w:szCs w:val="18"/>
              </w:rPr>
            </w:pPr>
            <w:r w:rsidRPr="0009751C">
              <w:rPr>
                <w:color w:val="000000"/>
                <w:sz w:val="18"/>
                <w:szCs w:val="18"/>
              </w:rPr>
              <w:t>-0.054998</w:t>
            </w:r>
          </w:p>
        </w:tc>
        <w:tc>
          <w:tcPr>
            <w:tcW w:w="1216" w:type="dxa"/>
            <w:tcBorders>
              <w:top w:val="nil"/>
              <w:left w:val="nil"/>
              <w:bottom w:val="nil"/>
              <w:right w:val="nil"/>
            </w:tcBorders>
            <w:shd w:val="clear" w:color="auto" w:fill="auto"/>
            <w:noWrap/>
            <w:vAlign w:val="bottom"/>
            <w:hideMark/>
          </w:tcPr>
          <w:p w14:paraId="2BD11AA4" w14:textId="247ABC4F" w:rsidR="004329A7" w:rsidRPr="0009751C" w:rsidRDefault="004329A7" w:rsidP="005455A9">
            <w:pPr>
              <w:jc w:val="right"/>
              <w:rPr>
                <w:color w:val="000000"/>
                <w:sz w:val="18"/>
                <w:szCs w:val="18"/>
              </w:rPr>
            </w:pPr>
            <w:r w:rsidRPr="0009751C">
              <w:rPr>
                <w:color w:val="000000"/>
                <w:sz w:val="18"/>
                <w:szCs w:val="18"/>
              </w:rPr>
              <w:t>-0.034967</w:t>
            </w:r>
          </w:p>
        </w:tc>
        <w:tc>
          <w:tcPr>
            <w:tcW w:w="1071" w:type="dxa"/>
            <w:tcBorders>
              <w:top w:val="nil"/>
              <w:left w:val="nil"/>
              <w:bottom w:val="nil"/>
              <w:right w:val="nil"/>
            </w:tcBorders>
            <w:shd w:val="clear" w:color="auto" w:fill="auto"/>
            <w:noWrap/>
            <w:vAlign w:val="bottom"/>
            <w:hideMark/>
          </w:tcPr>
          <w:p w14:paraId="0FF7C7E5" w14:textId="2B94618B" w:rsidR="004329A7" w:rsidRPr="0009751C" w:rsidRDefault="004329A7" w:rsidP="005455A9">
            <w:pPr>
              <w:jc w:val="right"/>
              <w:rPr>
                <w:color w:val="000000"/>
                <w:sz w:val="18"/>
                <w:szCs w:val="18"/>
              </w:rPr>
            </w:pPr>
            <w:r w:rsidRPr="0009751C">
              <w:rPr>
                <w:color w:val="000000"/>
                <w:sz w:val="18"/>
                <w:szCs w:val="18"/>
              </w:rPr>
              <w:t>0.18272</w:t>
            </w:r>
            <w:r w:rsidR="004559A2">
              <w:rPr>
                <w:color w:val="000000"/>
                <w:sz w:val="18"/>
                <w:szCs w:val="18"/>
              </w:rPr>
              <w:t>8</w:t>
            </w:r>
          </w:p>
        </w:tc>
        <w:tc>
          <w:tcPr>
            <w:tcW w:w="422" w:type="dxa"/>
            <w:tcBorders>
              <w:top w:val="nil"/>
              <w:left w:val="nil"/>
              <w:bottom w:val="nil"/>
              <w:right w:val="nil"/>
            </w:tcBorders>
            <w:shd w:val="clear" w:color="auto" w:fill="auto"/>
            <w:noWrap/>
            <w:vAlign w:val="bottom"/>
            <w:hideMark/>
          </w:tcPr>
          <w:p w14:paraId="2FBC4627" w14:textId="298A21D3" w:rsidR="004329A7" w:rsidRPr="0009751C" w:rsidRDefault="004329A7" w:rsidP="005455A9">
            <w:pPr>
              <w:jc w:val="right"/>
              <w:rPr>
                <w:color w:val="000000"/>
                <w:sz w:val="18"/>
                <w:szCs w:val="18"/>
              </w:rPr>
            </w:pPr>
            <w:r w:rsidRPr="0009751C">
              <w:rPr>
                <w:color w:val="000000"/>
                <w:sz w:val="18"/>
                <w:szCs w:val="18"/>
              </w:rPr>
              <w:t>-0.1576</w:t>
            </w:r>
            <w:r w:rsidR="004559A2">
              <w:rPr>
                <w:color w:val="000000"/>
                <w:sz w:val="18"/>
                <w:szCs w:val="18"/>
              </w:rPr>
              <w:t>8</w:t>
            </w:r>
          </w:p>
        </w:tc>
      </w:tr>
      <w:tr w:rsidR="00A85BE5" w:rsidRPr="004329A7" w14:paraId="4B35A2E2" w14:textId="77777777" w:rsidTr="00A85BE5">
        <w:trPr>
          <w:trHeight w:val="320"/>
        </w:trPr>
        <w:tc>
          <w:tcPr>
            <w:tcW w:w="1601" w:type="dxa"/>
            <w:tcBorders>
              <w:top w:val="nil"/>
              <w:left w:val="nil"/>
              <w:bottom w:val="nil"/>
              <w:right w:val="nil"/>
            </w:tcBorders>
            <w:shd w:val="clear" w:color="auto" w:fill="auto"/>
            <w:noWrap/>
            <w:vAlign w:val="bottom"/>
            <w:hideMark/>
          </w:tcPr>
          <w:p w14:paraId="6A26D105" w14:textId="77777777" w:rsidR="004329A7" w:rsidRPr="0009751C" w:rsidRDefault="004329A7" w:rsidP="005455A9">
            <w:pPr>
              <w:rPr>
                <w:color w:val="000000"/>
                <w:sz w:val="18"/>
                <w:szCs w:val="18"/>
              </w:rPr>
            </w:pPr>
            <w:r w:rsidRPr="0009751C">
              <w:rPr>
                <w:color w:val="000000"/>
                <w:sz w:val="18"/>
                <w:szCs w:val="18"/>
              </w:rPr>
              <w:t>LONG</w:t>
            </w:r>
          </w:p>
        </w:tc>
        <w:tc>
          <w:tcPr>
            <w:tcW w:w="1071" w:type="dxa"/>
            <w:tcBorders>
              <w:top w:val="nil"/>
              <w:left w:val="nil"/>
              <w:bottom w:val="nil"/>
              <w:right w:val="nil"/>
            </w:tcBorders>
            <w:shd w:val="clear" w:color="auto" w:fill="auto"/>
            <w:noWrap/>
            <w:vAlign w:val="bottom"/>
            <w:hideMark/>
          </w:tcPr>
          <w:p w14:paraId="6E2D9830" w14:textId="4FCED60B" w:rsidR="004329A7" w:rsidRPr="0009751C" w:rsidRDefault="004329A7" w:rsidP="005455A9">
            <w:pPr>
              <w:jc w:val="right"/>
              <w:rPr>
                <w:color w:val="000000"/>
                <w:sz w:val="18"/>
                <w:szCs w:val="18"/>
              </w:rPr>
            </w:pPr>
            <w:r w:rsidRPr="0009751C">
              <w:rPr>
                <w:color w:val="000000"/>
                <w:sz w:val="18"/>
                <w:szCs w:val="18"/>
              </w:rPr>
              <w:t>0.3818749</w:t>
            </w:r>
          </w:p>
        </w:tc>
        <w:tc>
          <w:tcPr>
            <w:tcW w:w="1071" w:type="dxa"/>
            <w:tcBorders>
              <w:top w:val="nil"/>
              <w:left w:val="nil"/>
              <w:bottom w:val="nil"/>
              <w:right w:val="nil"/>
            </w:tcBorders>
            <w:shd w:val="clear" w:color="auto" w:fill="auto"/>
            <w:noWrap/>
            <w:vAlign w:val="bottom"/>
            <w:hideMark/>
          </w:tcPr>
          <w:p w14:paraId="66344E70" w14:textId="77777777" w:rsidR="004329A7" w:rsidRPr="0009751C" w:rsidRDefault="004329A7" w:rsidP="005455A9">
            <w:pPr>
              <w:jc w:val="right"/>
              <w:rPr>
                <w:color w:val="000000"/>
                <w:sz w:val="18"/>
                <w:szCs w:val="18"/>
              </w:rPr>
            </w:pPr>
            <w:r w:rsidRPr="0009751C">
              <w:rPr>
                <w:color w:val="000000"/>
                <w:sz w:val="18"/>
                <w:szCs w:val="18"/>
              </w:rPr>
              <w:t>1</w:t>
            </w:r>
          </w:p>
        </w:tc>
        <w:tc>
          <w:tcPr>
            <w:tcW w:w="1325" w:type="dxa"/>
            <w:tcBorders>
              <w:top w:val="nil"/>
              <w:left w:val="nil"/>
              <w:bottom w:val="nil"/>
              <w:right w:val="nil"/>
            </w:tcBorders>
            <w:shd w:val="clear" w:color="auto" w:fill="auto"/>
            <w:noWrap/>
            <w:vAlign w:val="bottom"/>
            <w:hideMark/>
          </w:tcPr>
          <w:p w14:paraId="7FB21931" w14:textId="02607F0B" w:rsidR="004329A7" w:rsidRPr="0009751C" w:rsidRDefault="004329A7" w:rsidP="005455A9">
            <w:pPr>
              <w:jc w:val="right"/>
              <w:rPr>
                <w:color w:val="000000"/>
                <w:sz w:val="18"/>
                <w:szCs w:val="18"/>
              </w:rPr>
            </w:pPr>
            <w:r w:rsidRPr="0009751C">
              <w:rPr>
                <w:color w:val="000000"/>
                <w:sz w:val="18"/>
                <w:szCs w:val="18"/>
              </w:rPr>
              <w:t>0.199433</w:t>
            </w:r>
            <w:r w:rsidR="00256A36">
              <w:rPr>
                <w:color w:val="000000"/>
                <w:sz w:val="18"/>
                <w:szCs w:val="18"/>
              </w:rPr>
              <w:t>6</w:t>
            </w:r>
          </w:p>
        </w:tc>
        <w:tc>
          <w:tcPr>
            <w:tcW w:w="1075" w:type="dxa"/>
            <w:tcBorders>
              <w:top w:val="nil"/>
              <w:left w:val="nil"/>
              <w:bottom w:val="nil"/>
              <w:right w:val="nil"/>
            </w:tcBorders>
            <w:shd w:val="clear" w:color="auto" w:fill="auto"/>
            <w:noWrap/>
            <w:vAlign w:val="bottom"/>
            <w:hideMark/>
          </w:tcPr>
          <w:p w14:paraId="6E7D6C54" w14:textId="3A5EE658" w:rsidR="004329A7" w:rsidRPr="0009751C" w:rsidRDefault="004329A7" w:rsidP="005455A9">
            <w:pPr>
              <w:jc w:val="right"/>
              <w:rPr>
                <w:color w:val="000000"/>
                <w:sz w:val="18"/>
                <w:szCs w:val="18"/>
              </w:rPr>
            </w:pPr>
            <w:r w:rsidRPr="0009751C">
              <w:rPr>
                <w:color w:val="000000"/>
                <w:sz w:val="18"/>
                <w:szCs w:val="18"/>
              </w:rPr>
              <w:t>0.0718305</w:t>
            </w:r>
          </w:p>
        </w:tc>
        <w:tc>
          <w:tcPr>
            <w:tcW w:w="1206" w:type="dxa"/>
            <w:tcBorders>
              <w:top w:val="nil"/>
              <w:left w:val="nil"/>
              <w:bottom w:val="nil"/>
              <w:right w:val="nil"/>
            </w:tcBorders>
            <w:shd w:val="clear" w:color="auto" w:fill="auto"/>
            <w:noWrap/>
            <w:vAlign w:val="bottom"/>
            <w:hideMark/>
          </w:tcPr>
          <w:p w14:paraId="5CB1B233" w14:textId="10758D1F" w:rsidR="004329A7" w:rsidRPr="0009751C" w:rsidRDefault="004329A7" w:rsidP="005455A9">
            <w:pPr>
              <w:jc w:val="right"/>
              <w:rPr>
                <w:color w:val="000000"/>
                <w:sz w:val="18"/>
                <w:szCs w:val="18"/>
              </w:rPr>
            </w:pPr>
            <w:r w:rsidRPr="0009751C">
              <w:rPr>
                <w:color w:val="000000"/>
                <w:sz w:val="18"/>
                <w:szCs w:val="18"/>
              </w:rPr>
              <w:t>0.010376</w:t>
            </w:r>
            <w:r w:rsidR="003327C9">
              <w:rPr>
                <w:color w:val="000000"/>
                <w:sz w:val="18"/>
                <w:szCs w:val="18"/>
              </w:rPr>
              <w:t>2</w:t>
            </w:r>
          </w:p>
        </w:tc>
        <w:tc>
          <w:tcPr>
            <w:tcW w:w="1071" w:type="dxa"/>
            <w:tcBorders>
              <w:top w:val="nil"/>
              <w:left w:val="nil"/>
              <w:bottom w:val="nil"/>
              <w:right w:val="nil"/>
            </w:tcBorders>
            <w:shd w:val="clear" w:color="auto" w:fill="auto"/>
            <w:noWrap/>
            <w:vAlign w:val="bottom"/>
            <w:hideMark/>
          </w:tcPr>
          <w:p w14:paraId="280E26B8" w14:textId="474235A0" w:rsidR="004329A7" w:rsidRPr="0009751C" w:rsidRDefault="004329A7" w:rsidP="005455A9">
            <w:pPr>
              <w:jc w:val="right"/>
              <w:rPr>
                <w:color w:val="000000"/>
                <w:sz w:val="18"/>
                <w:szCs w:val="18"/>
              </w:rPr>
            </w:pPr>
            <w:r w:rsidRPr="0009751C">
              <w:rPr>
                <w:color w:val="000000"/>
                <w:sz w:val="18"/>
                <w:szCs w:val="18"/>
              </w:rPr>
              <w:t>-0.1230</w:t>
            </w:r>
            <w:r w:rsidR="00D812C8">
              <w:rPr>
                <w:color w:val="000000"/>
                <w:sz w:val="18"/>
                <w:szCs w:val="18"/>
              </w:rPr>
              <w:t>2</w:t>
            </w:r>
          </w:p>
        </w:tc>
        <w:tc>
          <w:tcPr>
            <w:tcW w:w="1071" w:type="dxa"/>
            <w:tcBorders>
              <w:top w:val="nil"/>
              <w:left w:val="nil"/>
              <w:bottom w:val="nil"/>
              <w:right w:val="nil"/>
            </w:tcBorders>
            <w:shd w:val="clear" w:color="auto" w:fill="auto"/>
            <w:noWrap/>
            <w:vAlign w:val="bottom"/>
            <w:hideMark/>
          </w:tcPr>
          <w:p w14:paraId="41F032AA" w14:textId="082A12CC" w:rsidR="004329A7" w:rsidRPr="0009751C" w:rsidRDefault="004329A7" w:rsidP="005455A9">
            <w:pPr>
              <w:jc w:val="right"/>
              <w:rPr>
                <w:color w:val="000000"/>
                <w:sz w:val="18"/>
                <w:szCs w:val="18"/>
              </w:rPr>
            </w:pPr>
            <w:r w:rsidRPr="0009751C">
              <w:rPr>
                <w:color w:val="000000"/>
                <w:sz w:val="18"/>
                <w:szCs w:val="18"/>
              </w:rPr>
              <w:t>-0.01045</w:t>
            </w:r>
          </w:p>
        </w:tc>
        <w:tc>
          <w:tcPr>
            <w:tcW w:w="1071" w:type="dxa"/>
            <w:tcBorders>
              <w:top w:val="nil"/>
              <w:left w:val="nil"/>
              <w:bottom w:val="nil"/>
              <w:right w:val="nil"/>
            </w:tcBorders>
            <w:shd w:val="clear" w:color="auto" w:fill="auto"/>
            <w:noWrap/>
            <w:vAlign w:val="bottom"/>
            <w:hideMark/>
          </w:tcPr>
          <w:p w14:paraId="36D48B16" w14:textId="37BDBB6E" w:rsidR="004329A7" w:rsidRPr="0009751C" w:rsidRDefault="004329A7" w:rsidP="005455A9">
            <w:pPr>
              <w:jc w:val="right"/>
              <w:rPr>
                <w:color w:val="000000"/>
                <w:sz w:val="18"/>
                <w:szCs w:val="18"/>
              </w:rPr>
            </w:pPr>
            <w:r w:rsidRPr="0009751C">
              <w:rPr>
                <w:color w:val="000000"/>
                <w:sz w:val="18"/>
                <w:szCs w:val="18"/>
              </w:rPr>
              <w:t>0.07711</w:t>
            </w:r>
            <w:r w:rsidR="003E228A">
              <w:rPr>
                <w:color w:val="000000"/>
                <w:sz w:val="18"/>
                <w:szCs w:val="18"/>
              </w:rPr>
              <w:t>8</w:t>
            </w:r>
          </w:p>
        </w:tc>
        <w:tc>
          <w:tcPr>
            <w:tcW w:w="1046" w:type="dxa"/>
            <w:tcBorders>
              <w:top w:val="nil"/>
              <w:left w:val="nil"/>
              <w:bottom w:val="nil"/>
              <w:right w:val="nil"/>
            </w:tcBorders>
            <w:shd w:val="clear" w:color="auto" w:fill="auto"/>
            <w:noWrap/>
            <w:vAlign w:val="bottom"/>
            <w:hideMark/>
          </w:tcPr>
          <w:p w14:paraId="12E890FA" w14:textId="235CDCA3" w:rsidR="004329A7" w:rsidRPr="0009751C" w:rsidRDefault="004329A7" w:rsidP="005455A9">
            <w:pPr>
              <w:jc w:val="right"/>
              <w:rPr>
                <w:color w:val="000000"/>
                <w:sz w:val="18"/>
                <w:szCs w:val="18"/>
              </w:rPr>
            </w:pPr>
            <w:r w:rsidRPr="0009751C">
              <w:rPr>
                <w:color w:val="000000"/>
                <w:sz w:val="18"/>
                <w:szCs w:val="18"/>
              </w:rPr>
              <w:t>-0.463202</w:t>
            </w:r>
          </w:p>
        </w:tc>
        <w:tc>
          <w:tcPr>
            <w:tcW w:w="1216" w:type="dxa"/>
            <w:tcBorders>
              <w:top w:val="nil"/>
              <w:left w:val="nil"/>
              <w:bottom w:val="nil"/>
              <w:right w:val="nil"/>
            </w:tcBorders>
            <w:shd w:val="clear" w:color="auto" w:fill="auto"/>
            <w:noWrap/>
            <w:vAlign w:val="bottom"/>
            <w:hideMark/>
          </w:tcPr>
          <w:p w14:paraId="7F0E9352" w14:textId="21B9FAC1" w:rsidR="004329A7" w:rsidRPr="0009751C" w:rsidRDefault="004329A7" w:rsidP="005455A9">
            <w:pPr>
              <w:jc w:val="right"/>
              <w:rPr>
                <w:color w:val="000000"/>
                <w:sz w:val="18"/>
                <w:szCs w:val="18"/>
              </w:rPr>
            </w:pPr>
            <w:r w:rsidRPr="0009751C">
              <w:rPr>
                <w:color w:val="000000"/>
                <w:sz w:val="18"/>
                <w:szCs w:val="18"/>
              </w:rPr>
              <w:t>0.227559</w:t>
            </w:r>
            <w:r w:rsidR="003E228A">
              <w:rPr>
                <w:color w:val="000000"/>
                <w:sz w:val="18"/>
                <w:szCs w:val="18"/>
              </w:rPr>
              <w:t>4</w:t>
            </w:r>
          </w:p>
        </w:tc>
        <w:tc>
          <w:tcPr>
            <w:tcW w:w="1071" w:type="dxa"/>
            <w:tcBorders>
              <w:top w:val="nil"/>
              <w:left w:val="nil"/>
              <w:bottom w:val="nil"/>
              <w:right w:val="nil"/>
            </w:tcBorders>
            <w:shd w:val="clear" w:color="auto" w:fill="auto"/>
            <w:noWrap/>
            <w:vAlign w:val="bottom"/>
            <w:hideMark/>
          </w:tcPr>
          <w:p w14:paraId="6D369C15" w14:textId="7F7572D3" w:rsidR="004329A7" w:rsidRPr="0009751C" w:rsidRDefault="004329A7" w:rsidP="005455A9">
            <w:pPr>
              <w:jc w:val="right"/>
              <w:rPr>
                <w:color w:val="000000"/>
                <w:sz w:val="18"/>
                <w:szCs w:val="18"/>
              </w:rPr>
            </w:pPr>
            <w:r w:rsidRPr="0009751C">
              <w:rPr>
                <w:color w:val="000000"/>
                <w:sz w:val="18"/>
                <w:szCs w:val="18"/>
              </w:rPr>
              <w:t>0.2993559</w:t>
            </w:r>
          </w:p>
        </w:tc>
        <w:tc>
          <w:tcPr>
            <w:tcW w:w="422" w:type="dxa"/>
            <w:tcBorders>
              <w:top w:val="nil"/>
              <w:left w:val="nil"/>
              <w:bottom w:val="nil"/>
              <w:right w:val="nil"/>
            </w:tcBorders>
            <w:shd w:val="clear" w:color="auto" w:fill="auto"/>
            <w:noWrap/>
            <w:vAlign w:val="bottom"/>
            <w:hideMark/>
          </w:tcPr>
          <w:p w14:paraId="630ED606" w14:textId="33406349" w:rsidR="004329A7" w:rsidRPr="0009751C" w:rsidRDefault="004329A7" w:rsidP="005455A9">
            <w:pPr>
              <w:jc w:val="right"/>
              <w:rPr>
                <w:color w:val="000000"/>
                <w:sz w:val="18"/>
                <w:szCs w:val="18"/>
              </w:rPr>
            </w:pPr>
            <w:r w:rsidRPr="0009751C">
              <w:rPr>
                <w:color w:val="000000"/>
                <w:sz w:val="18"/>
                <w:szCs w:val="18"/>
              </w:rPr>
              <w:t>-0.475891</w:t>
            </w:r>
          </w:p>
        </w:tc>
      </w:tr>
      <w:tr w:rsidR="00A85BE5" w:rsidRPr="004329A7" w14:paraId="0911EB68" w14:textId="77777777" w:rsidTr="00A85BE5">
        <w:trPr>
          <w:trHeight w:val="320"/>
        </w:trPr>
        <w:tc>
          <w:tcPr>
            <w:tcW w:w="1601" w:type="dxa"/>
            <w:tcBorders>
              <w:top w:val="nil"/>
              <w:left w:val="nil"/>
              <w:bottom w:val="nil"/>
              <w:right w:val="nil"/>
            </w:tcBorders>
            <w:shd w:val="clear" w:color="auto" w:fill="auto"/>
            <w:noWrap/>
            <w:vAlign w:val="bottom"/>
            <w:hideMark/>
          </w:tcPr>
          <w:p w14:paraId="63B697DC" w14:textId="77777777" w:rsidR="004329A7" w:rsidRPr="0009751C" w:rsidRDefault="004329A7" w:rsidP="005455A9">
            <w:pPr>
              <w:rPr>
                <w:color w:val="000000"/>
                <w:sz w:val="18"/>
                <w:szCs w:val="18"/>
              </w:rPr>
            </w:pPr>
            <w:r w:rsidRPr="0009751C">
              <w:rPr>
                <w:color w:val="000000"/>
                <w:sz w:val="18"/>
                <w:szCs w:val="18"/>
              </w:rPr>
              <w:t>Current valuation (A$)</w:t>
            </w:r>
          </w:p>
        </w:tc>
        <w:tc>
          <w:tcPr>
            <w:tcW w:w="1071" w:type="dxa"/>
            <w:tcBorders>
              <w:top w:val="nil"/>
              <w:left w:val="nil"/>
              <w:bottom w:val="nil"/>
              <w:right w:val="nil"/>
            </w:tcBorders>
            <w:shd w:val="clear" w:color="auto" w:fill="auto"/>
            <w:noWrap/>
            <w:vAlign w:val="bottom"/>
            <w:hideMark/>
          </w:tcPr>
          <w:p w14:paraId="6EECB201" w14:textId="45AA4DCA" w:rsidR="004329A7" w:rsidRPr="0009751C" w:rsidRDefault="004329A7" w:rsidP="005455A9">
            <w:pPr>
              <w:jc w:val="right"/>
              <w:rPr>
                <w:color w:val="000000"/>
                <w:sz w:val="18"/>
                <w:szCs w:val="18"/>
              </w:rPr>
            </w:pPr>
            <w:r w:rsidRPr="0009751C">
              <w:rPr>
                <w:color w:val="000000"/>
                <w:sz w:val="18"/>
                <w:szCs w:val="18"/>
              </w:rPr>
              <w:t>0.094334</w:t>
            </w:r>
            <w:r w:rsidR="00F5005C">
              <w:rPr>
                <w:color w:val="000000"/>
                <w:sz w:val="18"/>
                <w:szCs w:val="18"/>
              </w:rPr>
              <w:t>1</w:t>
            </w:r>
          </w:p>
        </w:tc>
        <w:tc>
          <w:tcPr>
            <w:tcW w:w="1071" w:type="dxa"/>
            <w:tcBorders>
              <w:top w:val="nil"/>
              <w:left w:val="nil"/>
              <w:bottom w:val="nil"/>
              <w:right w:val="nil"/>
            </w:tcBorders>
            <w:shd w:val="clear" w:color="auto" w:fill="auto"/>
            <w:noWrap/>
            <w:vAlign w:val="bottom"/>
            <w:hideMark/>
          </w:tcPr>
          <w:p w14:paraId="0975BD76" w14:textId="713884EF" w:rsidR="004329A7" w:rsidRPr="0009751C" w:rsidRDefault="004329A7" w:rsidP="005455A9">
            <w:pPr>
              <w:jc w:val="right"/>
              <w:rPr>
                <w:color w:val="000000"/>
                <w:sz w:val="18"/>
                <w:szCs w:val="18"/>
              </w:rPr>
            </w:pPr>
            <w:r w:rsidRPr="0009751C">
              <w:rPr>
                <w:color w:val="000000"/>
                <w:sz w:val="18"/>
                <w:szCs w:val="18"/>
              </w:rPr>
              <w:t>0.199433</w:t>
            </w:r>
            <w:r w:rsidR="00256A36">
              <w:rPr>
                <w:color w:val="000000"/>
                <w:sz w:val="18"/>
                <w:szCs w:val="18"/>
              </w:rPr>
              <w:t>6</w:t>
            </w:r>
          </w:p>
        </w:tc>
        <w:tc>
          <w:tcPr>
            <w:tcW w:w="1325" w:type="dxa"/>
            <w:tcBorders>
              <w:top w:val="nil"/>
              <w:left w:val="nil"/>
              <w:bottom w:val="nil"/>
              <w:right w:val="nil"/>
            </w:tcBorders>
            <w:shd w:val="clear" w:color="auto" w:fill="auto"/>
            <w:noWrap/>
            <w:vAlign w:val="bottom"/>
            <w:hideMark/>
          </w:tcPr>
          <w:p w14:paraId="04F21D54" w14:textId="77777777" w:rsidR="004329A7" w:rsidRPr="0009751C" w:rsidRDefault="004329A7" w:rsidP="005455A9">
            <w:pPr>
              <w:jc w:val="right"/>
              <w:rPr>
                <w:color w:val="000000"/>
                <w:sz w:val="18"/>
                <w:szCs w:val="18"/>
              </w:rPr>
            </w:pPr>
            <w:r w:rsidRPr="0009751C">
              <w:rPr>
                <w:color w:val="000000"/>
                <w:sz w:val="18"/>
                <w:szCs w:val="18"/>
              </w:rPr>
              <w:t>1</w:t>
            </w:r>
          </w:p>
        </w:tc>
        <w:tc>
          <w:tcPr>
            <w:tcW w:w="1075" w:type="dxa"/>
            <w:tcBorders>
              <w:top w:val="nil"/>
              <w:left w:val="nil"/>
              <w:bottom w:val="nil"/>
              <w:right w:val="nil"/>
            </w:tcBorders>
            <w:shd w:val="clear" w:color="auto" w:fill="auto"/>
            <w:noWrap/>
            <w:vAlign w:val="bottom"/>
            <w:hideMark/>
          </w:tcPr>
          <w:p w14:paraId="575BE19A" w14:textId="38309207" w:rsidR="004329A7" w:rsidRPr="0009751C" w:rsidRDefault="004329A7" w:rsidP="005455A9">
            <w:pPr>
              <w:jc w:val="right"/>
              <w:rPr>
                <w:color w:val="000000"/>
                <w:sz w:val="18"/>
                <w:szCs w:val="18"/>
              </w:rPr>
            </w:pPr>
            <w:r w:rsidRPr="0009751C">
              <w:rPr>
                <w:color w:val="000000"/>
                <w:sz w:val="18"/>
                <w:szCs w:val="18"/>
              </w:rPr>
              <w:t>0.5591153</w:t>
            </w:r>
          </w:p>
        </w:tc>
        <w:tc>
          <w:tcPr>
            <w:tcW w:w="1206" w:type="dxa"/>
            <w:tcBorders>
              <w:top w:val="nil"/>
              <w:left w:val="nil"/>
              <w:bottom w:val="nil"/>
              <w:right w:val="nil"/>
            </w:tcBorders>
            <w:shd w:val="clear" w:color="auto" w:fill="auto"/>
            <w:noWrap/>
            <w:vAlign w:val="bottom"/>
            <w:hideMark/>
          </w:tcPr>
          <w:p w14:paraId="7AEAB2B9" w14:textId="262346B7" w:rsidR="004329A7" w:rsidRPr="0009751C" w:rsidRDefault="004329A7" w:rsidP="005455A9">
            <w:pPr>
              <w:jc w:val="right"/>
              <w:rPr>
                <w:color w:val="000000"/>
                <w:sz w:val="18"/>
                <w:szCs w:val="18"/>
              </w:rPr>
            </w:pPr>
            <w:r w:rsidRPr="0009751C">
              <w:rPr>
                <w:color w:val="000000"/>
                <w:sz w:val="18"/>
                <w:szCs w:val="18"/>
              </w:rPr>
              <w:t>0.055790</w:t>
            </w:r>
            <w:r w:rsidR="003327C9">
              <w:rPr>
                <w:color w:val="000000"/>
                <w:sz w:val="18"/>
                <w:szCs w:val="18"/>
              </w:rPr>
              <w:t>3</w:t>
            </w:r>
          </w:p>
        </w:tc>
        <w:tc>
          <w:tcPr>
            <w:tcW w:w="1071" w:type="dxa"/>
            <w:tcBorders>
              <w:top w:val="nil"/>
              <w:left w:val="nil"/>
              <w:bottom w:val="nil"/>
              <w:right w:val="nil"/>
            </w:tcBorders>
            <w:shd w:val="clear" w:color="auto" w:fill="auto"/>
            <w:noWrap/>
            <w:vAlign w:val="bottom"/>
            <w:hideMark/>
          </w:tcPr>
          <w:p w14:paraId="18D764FC" w14:textId="44C08BCC" w:rsidR="004329A7" w:rsidRPr="0009751C" w:rsidRDefault="004329A7" w:rsidP="005455A9">
            <w:pPr>
              <w:jc w:val="right"/>
              <w:rPr>
                <w:color w:val="000000"/>
                <w:sz w:val="18"/>
                <w:szCs w:val="18"/>
              </w:rPr>
            </w:pPr>
            <w:r w:rsidRPr="0009751C">
              <w:rPr>
                <w:color w:val="000000"/>
                <w:sz w:val="18"/>
                <w:szCs w:val="18"/>
              </w:rPr>
              <w:t>0.079243</w:t>
            </w:r>
            <w:r w:rsidR="00D812C8">
              <w:rPr>
                <w:color w:val="000000"/>
                <w:sz w:val="18"/>
                <w:szCs w:val="18"/>
              </w:rPr>
              <w:t>2</w:t>
            </w:r>
          </w:p>
        </w:tc>
        <w:tc>
          <w:tcPr>
            <w:tcW w:w="1071" w:type="dxa"/>
            <w:tcBorders>
              <w:top w:val="nil"/>
              <w:left w:val="nil"/>
              <w:bottom w:val="nil"/>
              <w:right w:val="nil"/>
            </w:tcBorders>
            <w:shd w:val="clear" w:color="auto" w:fill="auto"/>
            <w:noWrap/>
            <w:vAlign w:val="bottom"/>
            <w:hideMark/>
          </w:tcPr>
          <w:p w14:paraId="1A49E21A" w14:textId="6CACC555" w:rsidR="004329A7" w:rsidRPr="0009751C" w:rsidRDefault="004329A7" w:rsidP="005455A9">
            <w:pPr>
              <w:jc w:val="right"/>
              <w:rPr>
                <w:color w:val="000000"/>
                <w:sz w:val="18"/>
                <w:szCs w:val="18"/>
              </w:rPr>
            </w:pPr>
            <w:r w:rsidRPr="0009751C">
              <w:rPr>
                <w:color w:val="000000"/>
                <w:sz w:val="18"/>
                <w:szCs w:val="18"/>
              </w:rPr>
              <w:t>0.123333</w:t>
            </w:r>
            <w:r w:rsidR="00D812C8">
              <w:rPr>
                <w:color w:val="000000"/>
                <w:sz w:val="18"/>
                <w:szCs w:val="18"/>
              </w:rPr>
              <w:t>2</w:t>
            </w:r>
          </w:p>
        </w:tc>
        <w:tc>
          <w:tcPr>
            <w:tcW w:w="1071" w:type="dxa"/>
            <w:tcBorders>
              <w:top w:val="nil"/>
              <w:left w:val="nil"/>
              <w:bottom w:val="nil"/>
              <w:right w:val="nil"/>
            </w:tcBorders>
            <w:shd w:val="clear" w:color="auto" w:fill="auto"/>
            <w:noWrap/>
            <w:vAlign w:val="bottom"/>
            <w:hideMark/>
          </w:tcPr>
          <w:p w14:paraId="1F73CF05" w14:textId="4962D33D" w:rsidR="004329A7" w:rsidRPr="0009751C" w:rsidRDefault="004329A7" w:rsidP="005455A9">
            <w:pPr>
              <w:jc w:val="right"/>
              <w:rPr>
                <w:color w:val="000000"/>
                <w:sz w:val="18"/>
                <w:szCs w:val="18"/>
              </w:rPr>
            </w:pPr>
            <w:r w:rsidRPr="0009751C">
              <w:rPr>
                <w:color w:val="000000"/>
                <w:sz w:val="18"/>
                <w:szCs w:val="18"/>
              </w:rPr>
              <w:t>0.0083073</w:t>
            </w:r>
          </w:p>
        </w:tc>
        <w:tc>
          <w:tcPr>
            <w:tcW w:w="1046" w:type="dxa"/>
            <w:tcBorders>
              <w:top w:val="nil"/>
              <w:left w:val="nil"/>
              <w:bottom w:val="nil"/>
              <w:right w:val="nil"/>
            </w:tcBorders>
            <w:shd w:val="clear" w:color="auto" w:fill="auto"/>
            <w:noWrap/>
            <w:vAlign w:val="bottom"/>
            <w:hideMark/>
          </w:tcPr>
          <w:p w14:paraId="38D9C8E9" w14:textId="7EB0FA24" w:rsidR="004329A7" w:rsidRPr="0009751C" w:rsidRDefault="004329A7" w:rsidP="005455A9">
            <w:pPr>
              <w:jc w:val="right"/>
              <w:rPr>
                <w:color w:val="000000"/>
                <w:sz w:val="18"/>
                <w:szCs w:val="18"/>
              </w:rPr>
            </w:pPr>
            <w:r w:rsidRPr="0009751C">
              <w:rPr>
                <w:color w:val="000000"/>
                <w:sz w:val="18"/>
                <w:szCs w:val="18"/>
              </w:rPr>
              <w:t>-0.08209</w:t>
            </w:r>
            <w:r w:rsidR="003E228A">
              <w:rPr>
                <w:color w:val="000000"/>
                <w:sz w:val="18"/>
                <w:szCs w:val="18"/>
              </w:rPr>
              <w:t>4</w:t>
            </w:r>
          </w:p>
        </w:tc>
        <w:tc>
          <w:tcPr>
            <w:tcW w:w="1216" w:type="dxa"/>
            <w:tcBorders>
              <w:top w:val="nil"/>
              <w:left w:val="nil"/>
              <w:bottom w:val="nil"/>
              <w:right w:val="nil"/>
            </w:tcBorders>
            <w:shd w:val="clear" w:color="auto" w:fill="auto"/>
            <w:noWrap/>
            <w:vAlign w:val="bottom"/>
            <w:hideMark/>
          </w:tcPr>
          <w:p w14:paraId="15FD612C" w14:textId="68ABFC1F" w:rsidR="004329A7" w:rsidRPr="0009751C" w:rsidRDefault="004329A7" w:rsidP="005455A9">
            <w:pPr>
              <w:jc w:val="right"/>
              <w:rPr>
                <w:color w:val="000000"/>
                <w:sz w:val="18"/>
                <w:szCs w:val="18"/>
              </w:rPr>
            </w:pPr>
            <w:r w:rsidRPr="0009751C">
              <w:rPr>
                <w:color w:val="000000"/>
                <w:sz w:val="18"/>
                <w:szCs w:val="18"/>
              </w:rPr>
              <w:t>0.014088</w:t>
            </w:r>
            <w:r w:rsidR="003E228A">
              <w:rPr>
                <w:color w:val="000000"/>
                <w:sz w:val="18"/>
                <w:szCs w:val="18"/>
              </w:rPr>
              <w:t>8</w:t>
            </w:r>
          </w:p>
        </w:tc>
        <w:tc>
          <w:tcPr>
            <w:tcW w:w="1071" w:type="dxa"/>
            <w:tcBorders>
              <w:top w:val="nil"/>
              <w:left w:val="nil"/>
              <w:bottom w:val="nil"/>
              <w:right w:val="nil"/>
            </w:tcBorders>
            <w:shd w:val="clear" w:color="auto" w:fill="auto"/>
            <w:noWrap/>
            <w:vAlign w:val="bottom"/>
            <w:hideMark/>
          </w:tcPr>
          <w:p w14:paraId="3485963F" w14:textId="23B55B1F" w:rsidR="004329A7" w:rsidRPr="0009751C" w:rsidRDefault="004329A7" w:rsidP="005455A9">
            <w:pPr>
              <w:jc w:val="right"/>
              <w:rPr>
                <w:color w:val="000000"/>
                <w:sz w:val="18"/>
                <w:szCs w:val="18"/>
              </w:rPr>
            </w:pPr>
            <w:r w:rsidRPr="0009751C">
              <w:rPr>
                <w:color w:val="000000"/>
                <w:sz w:val="18"/>
                <w:szCs w:val="18"/>
              </w:rPr>
              <w:t>0.0985</w:t>
            </w:r>
            <w:r w:rsidR="004559A2">
              <w:rPr>
                <w:color w:val="000000"/>
                <w:sz w:val="18"/>
                <w:szCs w:val="18"/>
              </w:rPr>
              <w:t>4</w:t>
            </w:r>
          </w:p>
        </w:tc>
        <w:tc>
          <w:tcPr>
            <w:tcW w:w="422" w:type="dxa"/>
            <w:tcBorders>
              <w:top w:val="nil"/>
              <w:left w:val="nil"/>
              <w:bottom w:val="nil"/>
              <w:right w:val="nil"/>
            </w:tcBorders>
            <w:shd w:val="clear" w:color="auto" w:fill="auto"/>
            <w:noWrap/>
            <w:vAlign w:val="bottom"/>
            <w:hideMark/>
          </w:tcPr>
          <w:p w14:paraId="03E1D0BF" w14:textId="4FA3D5CA" w:rsidR="004329A7" w:rsidRPr="0009751C" w:rsidRDefault="004329A7" w:rsidP="005455A9">
            <w:pPr>
              <w:jc w:val="right"/>
              <w:rPr>
                <w:color w:val="000000"/>
                <w:sz w:val="18"/>
                <w:szCs w:val="18"/>
              </w:rPr>
            </w:pPr>
            <w:r w:rsidRPr="0009751C">
              <w:rPr>
                <w:color w:val="000000"/>
                <w:sz w:val="18"/>
                <w:szCs w:val="18"/>
              </w:rPr>
              <w:t>-0.11019</w:t>
            </w:r>
            <w:r w:rsidR="004559A2">
              <w:rPr>
                <w:color w:val="000000"/>
                <w:sz w:val="18"/>
                <w:szCs w:val="18"/>
              </w:rPr>
              <w:t>6</w:t>
            </w:r>
          </w:p>
        </w:tc>
      </w:tr>
      <w:tr w:rsidR="00A85BE5" w:rsidRPr="004329A7" w14:paraId="6D91B2A0" w14:textId="77777777" w:rsidTr="00A85BE5">
        <w:trPr>
          <w:trHeight w:val="320"/>
        </w:trPr>
        <w:tc>
          <w:tcPr>
            <w:tcW w:w="1601" w:type="dxa"/>
            <w:tcBorders>
              <w:top w:val="nil"/>
              <w:left w:val="nil"/>
              <w:bottom w:val="nil"/>
              <w:right w:val="nil"/>
            </w:tcBorders>
            <w:shd w:val="clear" w:color="auto" w:fill="auto"/>
            <w:noWrap/>
            <w:vAlign w:val="bottom"/>
            <w:hideMark/>
          </w:tcPr>
          <w:p w14:paraId="0F80BB38" w14:textId="77777777" w:rsidR="004329A7" w:rsidRPr="0009751C" w:rsidRDefault="004329A7" w:rsidP="005455A9">
            <w:pPr>
              <w:rPr>
                <w:color w:val="000000"/>
                <w:sz w:val="18"/>
                <w:szCs w:val="18"/>
              </w:rPr>
            </w:pPr>
            <w:r w:rsidRPr="0009751C">
              <w:rPr>
                <w:color w:val="000000"/>
                <w:sz w:val="18"/>
                <w:szCs w:val="18"/>
              </w:rPr>
              <w:t>Property area</w:t>
            </w:r>
          </w:p>
        </w:tc>
        <w:tc>
          <w:tcPr>
            <w:tcW w:w="1071" w:type="dxa"/>
            <w:tcBorders>
              <w:top w:val="nil"/>
              <w:left w:val="nil"/>
              <w:bottom w:val="nil"/>
              <w:right w:val="nil"/>
            </w:tcBorders>
            <w:shd w:val="clear" w:color="auto" w:fill="auto"/>
            <w:noWrap/>
            <w:vAlign w:val="bottom"/>
            <w:hideMark/>
          </w:tcPr>
          <w:p w14:paraId="589AFCEE" w14:textId="31771E38" w:rsidR="004329A7" w:rsidRPr="0009751C" w:rsidRDefault="004329A7" w:rsidP="005455A9">
            <w:pPr>
              <w:jc w:val="right"/>
              <w:rPr>
                <w:color w:val="000000"/>
                <w:sz w:val="18"/>
                <w:szCs w:val="18"/>
              </w:rPr>
            </w:pPr>
            <w:r w:rsidRPr="0009751C">
              <w:rPr>
                <w:color w:val="000000"/>
                <w:sz w:val="18"/>
                <w:szCs w:val="18"/>
              </w:rPr>
              <w:t>-0.067759</w:t>
            </w:r>
          </w:p>
        </w:tc>
        <w:tc>
          <w:tcPr>
            <w:tcW w:w="1071" w:type="dxa"/>
            <w:tcBorders>
              <w:top w:val="nil"/>
              <w:left w:val="nil"/>
              <w:bottom w:val="nil"/>
              <w:right w:val="nil"/>
            </w:tcBorders>
            <w:shd w:val="clear" w:color="auto" w:fill="auto"/>
            <w:noWrap/>
            <w:vAlign w:val="bottom"/>
            <w:hideMark/>
          </w:tcPr>
          <w:p w14:paraId="4CE60908" w14:textId="62F1AF1B" w:rsidR="004329A7" w:rsidRPr="0009751C" w:rsidRDefault="004329A7" w:rsidP="005455A9">
            <w:pPr>
              <w:jc w:val="right"/>
              <w:rPr>
                <w:color w:val="000000"/>
                <w:sz w:val="18"/>
                <w:szCs w:val="18"/>
              </w:rPr>
            </w:pPr>
            <w:r w:rsidRPr="0009751C">
              <w:rPr>
                <w:color w:val="000000"/>
                <w:sz w:val="18"/>
                <w:szCs w:val="18"/>
              </w:rPr>
              <w:t>0.0718305</w:t>
            </w:r>
          </w:p>
        </w:tc>
        <w:tc>
          <w:tcPr>
            <w:tcW w:w="1325" w:type="dxa"/>
            <w:tcBorders>
              <w:top w:val="nil"/>
              <w:left w:val="nil"/>
              <w:bottom w:val="nil"/>
              <w:right w:val="nil"/>
            </w:tcBorders>
            <w:shd w:val="clear" w:color="auto" w:fill="auto"/>
            <w:noWrap/>
            <w:vAlign w:val="bottom"/>
            <w:hideMark/>
          </w:tcPr>
          <w:p w14:paraId="2FF55831" w14:textId="4AF68982" w:rsidR="004329A7" w:rsidRPr="0009751C" w:rsidRDefault="004329A7" w:rsidP="005455A9">
            <w:pPr>
              <w:jc w:val="right"/>
              <w:rPr>
                <w:color w:val="000000"/>
                <w:sz w:val="18"/>
                <w:szCs w:val="18"/>
              </w:rPr>
            </w:pPr>
            <w:r w:rsidRPr="0009751C">
              <w:rPr>
                <w:color w:val="000000"/>
                <w:sz w:val="18"/>
                <w:szCs w:val="18"/>
              </w:rPr>
              <w:t>0.5591153</w:t>
            </w:r>
          </w:p>
        </w:tc>
        <w:tc>
          <w:tcPr>
            <w:tcW w:w="1075" w:type="dxa"/>
            <w:tcBorders>
              <w:top w:val="nil"/>
              <w:left w:val="nil"/>
              <w:bottom w:val="nil"/>
              <w:right w:val="nil"/>
            </w:tcBorders>
            <w:shd w:val="clear" w:color="auto" w:fill="auto"/>
            <w:noWrap/>
            <w:vAlign w:val="bottom"/>
            <w:hideMark/>
          </w:tcPr>
          <w:p w14:paraId="724512EF" w14:textId="77777777" w:rsidR="004329A7" w:rsidRPr="0009751C" w:rsidRDefault="004329A7" w:rsidP="005455A9">
            <w:pPr>
              <w:jc w:val="right"/>
              <w:rPr>
                <w:color w:val="000000"/>
                <w:sz w:val="18"/>
                <w:szCs w:val="18"/>
              </w:rPr>
            </w:pPr>
            <w:r w:rsidRPr="0009751C">
              <w:rPr>
                <w:color w:val="000000"/>
                <w:sz w:val="18"/>
                <w:szCs w:val="18"/>
              </w:rPr>
              <w:t>1</w:t>
            </w:r>
          </w:p>
        </w:tc>
        <w:tc>
          <w:tcPr>
            <w:tcW w:w="1206" w:type="dxa"/>
            <w:tcBorders>
              <w:top w:val="nil"/>
              <w:left w:val="nil"/>
              <w:bottom w:val="nil"/>
              <w:right w:val="nil"/>
            </w:tcBorders>
            <w:shd w:val="clear" w:color="auto" w:fill="auto"/>
            <w:noWrap/>
            <w:vAlign w:val="bottom"/>
            <w:hideMark/>
          </w:tcPr>
          <w:p w14:paraId="5EF4516F" w14:textId="6F763947" w:rsidR="004329A7" w:rsidRPr="0009751C" w:rsidRDefault="004329A7" w:rsidP="005455A9">
            <w:pPr>
              <w:jc w:val="right"/>
              <w:rPr>
                <w:color w:val="000000"/>
                <w:sz w:val="18"/>
                <w:szCs w:val="18"/>
              </w:rPr>
            </w:pPr>
            <w:r w:rsidRPr="0009751C">
              <w:rPr>
                <w:color w:val="000000"/>
                <w:sz w:val="18"/>
                <w:szCs w:val="18"/>
              </w:rPr>
              <w:t>-0.03629</w:t>
            </w:r>
            <w:r w:rsidR="003327C9">
              <w:rPr>
                <w:color w:val="000000"/>
                <w:sz w:val="18"/>
                <w:szCs w:val="18"/>
              </w:rPr>
              <w:t>8</w:t>
            </w:r>
          </w:p>
        </w:tc>
        <w:tc>
          <w:tcPr>
            <w:tcW w:w="1071" w:type="dxa"/>
            <w:tcBorders>
              <w:top w:val="nil"/>
              <w:left w:val="nil"/>
              <w:bottom w:val="nil"/>
              <w:right w:val="nil"/>
            </w:tcBorders>
            <w:shd w:val="clear" w:color="auto" w:fill="auto"/>
            <w:noWrap/>
            <w:vAlign w:val="bottom"/>
            <w:hideMark/>
          </w:tcPr>
          <w:p w14:paraId="5DE4FDD8" w14:textId="3F16405D" w:rsidR="004329A7" w:rsidRPr="0009751C" w:rsidRDefault="004329A7" w:rsidP="005455A9">
            <w:pPr>
              <w:jc w:val="right"/>
              <w:rPr>
                <w:color w:val="000000"/>
                <w:sz w:val="18"/>
                <w:szCs w:val="18"/>
              </w:rPr>
            </w:pPr>
            <w:r w:rsidRPr="0009751C">
              <w:rPr>
                <w:color w:val="000000"/>
                <w:sz w:val="18"/>
                <w:szCs w:val="18"/>
              </w:rPr>
              <w:t>0.204827</w:t>
            </w:r>
            <w:r w:rsidR="00D812C8">
              <w:rPr>
                <w:color w:val="000000"/>
                <w:sz w:val="18"/>
                <w:szCs w:val="18"/>
              </w:rPr>
              <w:t>2</w:t>
            </w:r>
          </w:p>
        </w:tc>
        <w:tc>
          <w:tcPr>
            <w:tcW w:w="1071" w:type="dxa"/>
            <w:tcBorders>
              <w:top w:val="nil"/>
              <w:left w:val="nil"/>
              <w:bottom w:val="nil"/>
              <w:right w:val="nil"/>
            </w:tcBorders>
            <w:shd w:val="clear" w:color="auto" w:fill="auto"/>
            <w:noWrap/>
            <w:vAlign w:val="bottom"/>
            <w:hideMark/>
          </w:tcPr>
          <w:p w14:paraId="34EB1E3D" w14:textId="3B1B2EFD" w:rsidR="004329A7" w:rsidRPr="0009751C" w:rsidRDefault="004329A7" w:rsidP="005455A9">
            <w:pPr>
              <w:jc w:val="right"/>
              <w:rPr>
                <w:color w:val="000000"/>
                <w:sz w:val="18"/>
                <w:szCs w:val="18"/>
              </w:rPr>
            </w:pPr>
            <w:r w:rsidRPr="0009751C">
              <w:rPr>
                <w:color w:val="000000"/>
                <w:sz w:val="18"/>
                <w:szCs w:val="18"/>
              </w:rPr>
              <w:t>0.2150959</w:t>
            </w:r>
          </w:p>
        </w:tc>
        <w:tc>
          <w:tcPr>
            <w:tcW w:w="1071" w:type="dxa"/>
            <w:tcBorders>
              <w:top w:val="nil"/>
              <w:left w:val="nil"/>
              <w:bottom w:val="nil"/>
              <w:right w:val="nil"/>
            </w:tcBorders>
            <w:shd w:val="clear" w:color="auto" w:fill="auto"/>
            <w:noWrap/>
            <w:vAlign w:val="bottom"/>
            <w:hideMark/>
          </w:tcPr>
          <w:p w14:paraId="3AF3CAAD" w14:textId="7F4306A5" w:rsidR="004329A7" w:rsidRPr="0009751C" w:rsidRDefault="004329A7" w:rsidP="005455A9">
            <w:pPr>
              <w:jc w:val="right"/>
              <w:rPr>
                <w:color w:val="000000"/>
                <w:sz w:val="18"/>
                <w:szCs w:val="18"/>
              </w:rPr>
            </w:pPr>
            <w:r w:rsidRPr="0009751C">
              <w:rPr>
                <w:color w:val="000000"/>
                <w:sz w:val="18"/>
                <w:szCs w:val="18"/>
              </w:rPr>
              <w:t>0.0470687</w:t>
            </w:r>
          </w:p>
        </w:tc>
        <w:tc>
          <w:tcPr>
            <w:tcW w:w="1046" w:type="dxa"/>
            <w:tcBorders>
              <w:top w:val="nil"/>
              <w:left w:val="nil"/>
              <w:bottom w:val="nil"/>
              <w:right w:val="nil"/>
            </w:tcBorders>
            <w:shd w:val="clear" w:color="auto" w:fill="auto"/>
            <w:noWrap/>
            <w:vAlign w:val="bottom"/>
            <w:hideMark/>
          </w:tcPr>
          <w:p w14:paraId="35B31163" w14:textId="480CCDB7" w:rsidR="004329A7" w:rsidRPr="0009751C" w:rsidRDefault="004329A7" w:rsidP="005455A9">
            <w:pPr>
              <w:jc w:val="right"/>
              <w:rPr>
                <w:color w:val="000000"/>
                <w:sz w:val="18"/>
                <w:szCs w:val="18"/>
              </w:rPr>
            </w:pPr>
            <w:r w:rsidRPr="0009751C">
              <w:rPr>
                <w:color w:val="000000"/>
                <w:sz w:val="18"/>
                <w:szCs w:val="18"/>
              </w:rPr>
              <w:t>-0.01269</w:t>
            </w:r>
            <w:r w:rsidR="003E228A">
              <w:rPr>
                <w:color w:val="000000"/>
                <w:sz w:val="18"/>
                <w:szCs w:val="18"/>
              </w:rPr>
              <w:t>2</w:t>
            </w:r>
          </w:p>
        </w:tc>
        <w:tc>
          <w:tcPr>
            <w:tcW w:w="1216" w:type="dxa"/>
            <w:tcBorders>
              <w:top w:val="nil"/>
              <w:left w:val="nil"/>
              <w:bottom w:val="nil"/>
              <w:right w:val="nil"/>
            </w:tcBorders>
            <w:shd w:val="clear" w:color="auto" w:fill="auto"/>
            <w:noWrap/>
            <w:vAlign w:val="bottom"/>
            <w:hideMark/>
          </w:tcPr>
          <w:p w14:paraId="31AEC1D5" w14:textId="28F41BBD" w:rsidR="004329A7" w:rsidRPr="0009751C" w:rsidRDefault="004329A7" w:rsidP="005455A9">
            <w:pPr>
              <w:jc w:val="right"/>
              <w:rPr>
                <w:color w:val="000000"/>
                <w:sz w:val="18"/>
                <w:szCs w:val="18"/>
              </w:rPr>
            </w:pPr>
            <w:r w:rsidRPr="0009751C">
              <w:rPr>
                <w:color w:val="000000"/>
                <w:sz w:val="18"/>
                <w:szCs w:val="18"/>
              </w:rPr>
              <w:t>-0.065895</w:t>
            </w:r>
          </w:p>
        </w:tc>
        <w:tc>
          <w:tcPr>
            <w:tcW w:w="1071" w:type="dxa"/>
            <w:tcBorders>
              <w:top w:val="nil"/>
              <w:left w:val="nil"/>
              <w:bottom w:val="nil"/>
              <w:right w:val="nil"/>
            </w:tcBorders>
            <w:shd w:val="clear" w:color="auto" w:fill="auto"/>
            <w:noWrap/>
            <w:vAlign w:val="bottom"/>
            <w:hideMark/>
          </w:tcPr>
          <w:p w14:paraId="184ECB11" w14:textId="5EBBF753" w:rsidR="004329A7" w:rsidRPr="0009751C" w:rsidRDefault="004329A7" w:rsidP="005455A9">
            <w:pPr>
              <w:jc w:val="right"/>
              <w:rPr>
                <w:color w:val="000000"/>
                <w:sz w:val="18"/>
                <w:szCs w:val="18"/>
              </w:rPr>
            </w:pPr>
            <w:r w:rsidRPr="0009751C">
              <w:rPr>
                <w:color w:val="000000"/>
                <w:sz w:val="18"/>
                <w:szCs w:val="18"/>
              </w:rPr>
              <w:t>0.0916979</w:t>
            </w:r>
          </w:p>
        </w:tc>
        <w:tc>
          <w:tcPr>
            <w:tcW w:w="422" w:type="dxa"/>
            <w:tcBorders>
              <w:top w:val="nil"/>
              <w:left w:val="nil"/>
              <w:bottom w:val="nil"/>
              <w:right w:val="nil"/>
            </w:tcBorders>
            <w:shd w:val="clear" w:color="auto" w:fill="auto"/>
            <w:noWrap/>
            <w:vAlign w:val="bottom"/>
            <w:hideMark/>
          </w:tcPr>
          <w:p w14:paraId="21D117FB" w14:textId="2A587C05" w:rsidR="004329A7" w:rsidRPr="0009751C" w:rsidRDefault="004329A7" w:rsidP="005455A9">
            <w:pPr>
              <w:jc w:val="right"/>
              <w:rPr>
                <w:color w:val="000000"/>
                <w:sz w:val="18"/>
                <w:szCs w:val="18"/>
              </w:rPr>
            </w:pPr>
            <w:r w:rsidRPr="0009751C">
              <w:rPr>
                <w:color w:val="000000"/>
                <w:sz w:val="18"/>
                <w:szCs w:val="18"/>
              </w:rPr>
              <w:t>-0.04219</w:t>
            </w:r>
            <w:r w:rsidR="004559A2">
              <w:rPr>
                <w:color w:val="000000"/>
                <w:sz w:val="18"/>
                <w:szCs w:val="18"/>
              </w:rPr>
              <w:t>7</w:t>
            </w:r>
          </w:p>
        </w:tc>
      </w:tr>
      <w:tr w:rsidR="00A85BE5" w:rsidRPr="004329A7" w14:paraId="69D6BD40" w14:textId="77777777" w:rsidTr="00A85BE5">
        <w:trPr>
          <w:trHeight w:val="320"/>
        </w:trPr>
        <w:tc>
          <w:tcPr>
            <w:tcW w:w="1601" w:type="dxa"/>
            <w:tcBorders>
              <w:top w:val="nil"/>
              <w:left w:val="nil"/>
              <w:bottom w:val="nil"/>
              <w:right w:val="nil"/>
            </w:tcBorders>
            <w:shd w:val="clear" w:color="auto" w:fill="auto"/>
            <w:noWrap/>
            <w:vAlign w:val="bottom"/>
            <w:hideMark/>
          </w:tcPr>
          <w:p w14:paraId="097E980B" w14:textId="77777777" w:rsidR="004329A7" w:rsidRPr="0009751C" w:rsidRDefault="004329A7" w:rsidP="005455A9">
            <w:pPr>
              <w:rPr>
                <w:color w:val="000000"/>
                <w:sz w:val="18"/>
                <w:szCs w:val="18"/>
              </w:rPr>
            </w:pPr>
            <w:r w:rsidRPr="0009751C">
              <w:rPr>
                <w:color w:val="000000"/>
                <w:sz w:val="18"/>
                <w:szCs w:val="18"/>
              </w:rPr>
              <w:t>Valuation rate</w:t>
            </w:r>
          </w:p>
        </w:tc>
        <w:tc>
          <w:tcPr>
            <w:tcW w:w="1071" w:type="dxa"/>
            <w:tcBorders>
              <w:top w:val="nil"/>
              <w:left w:val="nil"/>
              <w:bottom w:val="nil"/>
              <w:right w:val="nil"/>
            </w:tcBorders>
            <w:shd w:val="clear" w:color="auto" w:fill="auto"/>
            <w:noWrap/>
            <w:vAlign w:val="bottom"/>
            <w:hideMark/>
          </w:tcPr>
          <w:p w14:paraId="589B9178" w14:textId="3EC0BDE2" w:rsidR="004329A7" w:rsidRPr="0009751C" w:rsidRDefault="004329A7" w:rsidP="005455A9">
            <w:pPr>
              <w:jc w:val="right"/>
              <w:rPr>
                <w:color w:val="000000"/>
                <w:sz w:val="18"/>
                <w:szCs w:val="18"/>
              </w:rPr>
            </w:pPr>
            <w:r w:rsidRPr="0009751C">
              <w:rPr>
                <w:color w:val="000000"/>
                <w:sz w:val="18"/>
                <w:szCs w:val="18"/>
              </w:rPr>
              <w:t>-0.03011</w:t>
            </w:r>
          </w:p>
        </w:tc>
        <w:tc>
          <w:tcPr>
            <w:tcW w:w="1071" w:type="dxa"/>
            <w:tcBorders>
              <w:top w:val="nil"/>
              <w:left w:val="nil"/>
              <w:bottom w:val="nil"/>
              <w:right w:val="nil"/>
            </w:tcBorders>
            <w:shd w:val="clear" w:color="auto" w:fill="auto"/>
            <w:noWrap/>
            <w:vAlign w:val="bottom"/>
            <w:hideMark/>
          </w:tcPr>
          <w:p w14:paraId="6328A0A1" w14:textId="648158CB" w:rsidR="004329A7" w:rsidRPr="0009751C" w:rsidRDefault="004329A7" w:rsidP="005455A9">
            <w:pPr>
              <w:jc w:val="right"/>
              <w:rPr>
                <w:color w:val="000000"/>
                <w:sz w:val="18"/>
                <w:szCs w:val="18"/>
              </w:rPr>
            </w:pPr>
            <w:r w:rsidRPr="0009751C">
              <w:rPr>
                <w:color w:val="000000"/>
                <w:sz w:val="18"/>
                <w:szCs w:val="18"/>
              </w:rPr>
              <w:t>0.010376</w:t>
            </w:r>
            <w:r w:rsidR="00F5005C">
              <w:rPr>
                <w:color w:val="000000"/>
                <w:sz w:val="18"/>
                <w:szCs w:val="18"/>
              </w:rPr>
              <w:t>2</w:t>
            </w:r>
          </w:p>
        </w:tc>
        <w:tc>
          <w:tcPr>
            <w:tcW w:w="1325" w:type="dxa"/>
            <w:tcBorders>
              <w:top w:val="nil"/>
              <w:left w:val="nil"/>
              <w:bottom w:val="nil"/>
              <w:right w:val="nil"/>
            </w:tcBorders>
            <w:shd w:val="clear" w:color="auto" w:fill="auto"/>
            <w:noWrap/>
            <w:vAlign w:val="bottom"/>
            <w:hideMark/>
          </w:tcPr>
          <w:p w14:paraId="28A719E1" w14:textId="63482DB1" w:rsidR="004329A7" w:rsidRPr="0009751C" w:rsidRDefault="004329A7" w:rsidP="005455A9">
            <w:pPr>
              <w:jc w:val="right"/>
              <w:rPr>
                <w:color w:val="000000"/>
                <w:sz w:val="18"/>
                <w:szCs w:val="18"/>
              </w:rPr>
            </w:pPr>
            <w:r w:rsidRPr="0009751C">
              <w:rPr>
                <w:color w:val="000000"/>
                <w:sz w:val="18"/>
                <w:szCs w:val="18"/>
              </w:rPr>
              <w:t>0.055790</w:t>
            </w:r>
            <w:r w:rsidR="00256A36">
              <w:rPr>
                <w:color w:val="000000"/>
                <w:sz w:val="18"/>
                <w:szCs w:val="18"/>
              </w:rPr>
              <w:t>3</w:t>
            </w:r>
          </w:p>
        </w:tc>
        <w:tc>
          <w:tcPr>
            <w:tcW w:w="1075" w:type="dxa"/>
            <w:tcBorders>
              <w:top w:val="nil"/>
              <w:left w:val="nil"/>
              <w:bottom w:val="nil"/>
              <w:right w:val="nil"/>
            </w:tcBorders>
            <w:shd w:val="clear" w:color="auto" w:fill="auto"/>
            <w:noWrap/>
            <w:vAlign w:val="bottom"/>
            <w:hideMark/>
          </w:tcPr>
          <w:p w14:paraId="2D989AF7" w14:textId="3C482E9A" w:rsidR="004329A7" w:rsidRPr="0009751C" w:rsidRDefault="004329A7" w:rsidP="005455A9">
            <w:pPr>
              <w:jc w:val="right"/>
              <w:rPr>
                <w:color w:val="000000"/>
                <w:sz w:val="18"/>
                <w:szCs w:val="18"/>
              </w:rPr>
            </w:pPr>
            <w:r w:rsidRPr="0009751C">
              <w:rPr>
                <w:color w:val="000000"/>
                <w:sz w:val="18"/>
                <w:szCs w:val="18"/>
              </w:rPr>
              <w:t>-0.03629</w:t>
            </w:r>
            <w:r w:rsidR="003327C9">
              <w:rPr>
                <w:color w:val="000000"/>
                <w:sz w:val="18"/>
                <w:szCs w:val="18"/>
              </w:rPr>
              <w:t>8</w:t>
            </w:r>
          </w:p>
        </w:tc>
        <w:tc>
          <w:tcPr>
            <w:tcW w:w="1206" w:type="dxa"/>
            <w:tcBorders>
              <w:top w:val="nil"/>
              <w:left w:val="nil"/>
              <w:bottom w:val="nil"/>
              <w:right w:val="nil"/>
            </w:tcBorders>
            <w:shd w:val="clear" w:color="auto" w:fill="auto"/>
            <w:noWrap/>
            <w:vAlign w:val="bottom"/>
            <w:hideMark/>
          </w:tcPr>
          <w:p w14:paraId="527DC17B" w14:textId="77777777" w:rsidR="004329A7" w:rsidRPr="0009751C" w:rsidRDefault="004329A7" w:rsidP="005455A9">
            <w:pPr>
              <w:jc w:val="right"/>
              <w:rPr>
                <w:color w:val="000000"/>
                <w:sz w:val="18"/>
                <w:szCs w:val="18"/>
              </w:rPr>
            </w:pPr>
            <w:r w:rsidRPr="0009751C">
              <w:rPr>
                <w:color w:val="000000"/>
                <w:sz w:val="18"/>
                <w:szCs w:val="18"/>
              </w:rPr>
              <w:t>1</w:t>
            </w:r>
          </w:p>
        </w:tc>
        <w:tc>
          <w:tcPr>
            <w:tcW w:w="1071" w:type="dxa"/>
            <w:tcBorders>
              <w:top w:val="nil"/>
              <w:left w:val="nil"/>
              <w:bottom w:val="nil"/>
              <w:right w:val="nil"/>
            </w:tcBorders>
            <w:shd w:val="clear" w:color="auto" w:fill="auto"/>
            <w:noWrap/>
            <w:vAlign w:val="bottom"/>
            <w:hideMark/>
          </w:tcPr>
          <w:p w14:paraId="3D747E06" w14:textId="2ECCA142" w:rsidR="004329A7" w:rsidRPr="0009751C" w:rsidRDefault="004329A7" w:rsidP="005455A9">
            <w:pPr>
              <w:jc w:val="right"/>
              <w:rPr>
                <w:color w:val="000000"/>
                <w:sz w:val="18"/>
                <w:szCs w:val="18"/>
              </w:rPr>
            </w:pPr>
            <w:r w:rsidRPr="0009751C">
              <w:rPr>
                <w:color w:val="000000"/>
                <w:sz w:val="18"/>
                <w:szCs w:val="18"/>
              </w:rPr>
              <w:t>0.02443</w:t>
            </w:r>
            <w:r w:rsidR="00D812C8">
              <w:rPr>
                <w:color w:val="000000"/>
                <w:sz w:val="18"/>
                <w:szCs w:val="18"/>
              </w:rPr>
              <w:t>4</w:t>
            </w:r>
          </w:p>
        </w:tc>
        <w:tc>
          <w:tcPr>
            <w:tcW w:w="1071" w:type="dxa"/>
            <w:tcBorders>
              <w:top w:val="nil"/>
              <w:left w:val="nil"/>
              <w:bottom w:val="nil"/>
              <w:right w:val="nil"/>
            </w:tcBorders>
            <w:shd w:val="clear" w:color="auto" w:fill="auto"/>
            <w:noWrap/>
            <w:vAlign w:val="bottom"/>
            <w:hideMark/>
          </w:tcPr>
          <w:p w14:paraId="39138D10" w14:textId="1CE662F9" w:rsidR="004329A7" w:rsidRPr="0009751C" w:rsidRDefault="004329A7" w:rsidP="005455A9">
            <w:pPr>
              <w:jc w:val="right"/>
              <w:rPr>
                <w:color w:val="000000"/>
                <w:sz w:val="18"/>
                <w:szCs w:val="18"/>
              </w:rPr>
            </w:pPr>
            <w:r w:rsidRPr="0009751C">
              <w:rPr>
                <w:color w:val="000000"/>
                <w:sz w:val="18"/>
                <w:szCs w:val="18"/>
              </w:rPr>
              <w:t>-0.010825</w:t>
            </w:r>
          </w:p>
        </w:tc>
        <w:tc>
          <w:tcPr>
            <w:tcW w:w="1071" w:type="dxa"/>
            <w:tcBorders>
              <w:top w:val="nil"/>
              <w:left w:val="nil"/>
              <w:bottom w:val="nil"/>
              <w:right w:val="nil"/>
            </w:tcBorders>
            <w:shd w:val="clear" w:color="auto" w:fill="auto"/>
            <w:noWrap/>
            <w:vAlign w:val="bottom"/>
            <w:hideMark/>
          </w:tcPr>
          <w:p w14:paraId="3E177355" w14:textId="519C9668" w:rsidR="004329A7" w:rsidRPr="0009751C" w:rsidRDefault="004329A7" w:rsidP="005455A9">
            <w:pPr>
              <w:jc w:val="right"/>
              <w:rPr>
                <w:color w:val="000000"/>
                <w:sz w:val="18"/>
                <w:szCs w:val="18"/>
              </w:rPr>
            </w:pPr>
            <w:r w:rsidRPr="0009751C">
              <w:rPr>
                <w:color w:val="000000"/>
                <w:sz w:val="18"/>
                <w:szCs w:val="18"/>
              </w:rPr>
              <w:t>-0.01254</w:t>
            </w:r>
            <w:r w:rsidR="003E228A">
              <w:rPr>
                <w:color w:val="000000"/>
                <w:sz w:val="18"/>
                <w:szCs w:val="18"/>
              </w:rPr>
              <w:t>7</w:t>
            </w:r>
          </w:p>
        </w:tc>
        <w:tc>
          <w:tcPr>
            <w:tcW w:w="1046" w:type="dxa"/>
            <w:tcBorders>
              <w:top w:val="nil"/>
              <w:left w:val="nil"/>
              <w:bottom w:val="nil"/>
              <w:right w:val="nil"/>
            </w:tcBorders>
            <w:shd w:val="clear" w:color="auto" w:fill="auto"/>
            <w:noWrap/>
            <w:vAlign w:val="bottom"/>
            <w:hideMark/>
          </w:tcPr>
          <w:p w14:paraId="24B05986" w14:textId="2E3CC610" w:rsidR="004329A7" w:rsidRPr="0009751C" w:rsidRDefault="004329A7" w:rsidP="005455A9">
            <w:pPr>
              <w:jc w:val="right"/>
              <w:rPr>
                <w:color w:val="000000"/>
                <w:sz w:val="18"/>
                <w:szCs w:val="18"/>
              </w:rPr>
            </w:pPr>
            <w:r w:rsidRPr="0009751C">
              <w:rPr>
                <w:color w:val="000000"/>
                <w:sz w:val="18"/>
                <w:szCs w:val="18"/>
              </w:rPr>
              <w:t>-0.042196</w:t>
            </w:r>
          </w:p>
        </w:tc>
        <w:tc>
          <w:tcPr>
            <w:tcW w:w="1216" w:type="dxa"/>
            <w:tcBorders>
              <w:top w:val="nil"/>
              <w:left w:val="nil"/>
              <w:bottom w:val="nil"/>
              <w:right w:val="nil"/>
            </w:tcBorders>
            <w:shd w:val="clear" w:color="auto" w:fill="auto"/>
            <w:noWrap/>
            <w:vAlign w:val="bottom"/>
            <w:hideMark/>
          </w:tcPr>
          <w:p w14:paraId="1C6734C3" w14:textId="37D8D968" w:rsidR="004329A7" w:rsidRPr="0009751C" w:rsidRDefault="004329A7" w:rsidP="005455A9">
            <w:pPr>
              <w:jc w:val="right"/>
              <w:rPr>
                <w:color w:val="000000"/>
                <w:sz w:val="18"/>
                <w:szCs w:val="18"/>
              </w:rPr>
            </w:pPr>
            <w:r w:rsidRPr="0009751C">
              <w:rPr>
                <w:color w:val="000000"/>
                <w:sz w:val="18"/>
                <w:szCs w:val="18"/>
              </w:rPr>
              <w:t>-0.017477</w:t>
            </w:r>
          </w:p>
        </w:tc>
        <w:tc>
          <w:tcPr>
            <w:tcW w:w="1071" w:type="dxa"/>
            <w:tcBorders>
              <w:top w:val="nil"/>
              <w:left w:val="nil"/>
              <w:bottom w:val="nil"/>
              <w:right w:val="nil"/>
            </w:tcBorders>
            <w:shd w:val="clear" w:color="auto" w:fill="auto"/>
            <w:noWrap/>
            <w:vAlign w:val="bottom"/>
            <w:hideMark/>
          </w:tcPr>
          <w:p w14:paraId="3E5FD077" w14:textId="0B553416" w:rsidR="004329A7" w:rsidRPr="0009751C" w:rsidRDefault="004329A7" w:rsidP="005455A9">
            <w:pPr>
              <w:jc w:val="right"/>
              <w:rPr>
                <w:color w:val="000000"/>
                <w:sz w:val="18"/>
                <w:szCs w:val="18"/>
              </w:rPr>
            </w:pPr>
            <w:r w:rsidRPr="0009751C">
              <w:rPr>
                <w:color w:val="000000"/>
                <w:sz w:val="18"/>
                <w:szCs w:val="18"/>
              </w:rPr>
              <w:t>0.0526312</w:t>
            </w:r>
          </w:p>
        </w:tc>
        <w:tc>
          <w:tcPr>
            <w:tcW w:w="422" w:type="dxa"/>
            <w:tcBorders>
              <w:top w:val="nil"/>
              <w:left w:val="nil"/>
              <w:bottom w:val="nil"/>
              <w:right w:val="nil"/>
            </w:tcBorders>
            <w:shd w:val="clear" w:color="auto" w:fill="auto"/>
            <w:noWrap/>
            <w:vAlign w:val="bottom"/>
            <w:hideMark/>
          </w:tcPr>
          <w:p w14:paraId="7CCD44D6" w14:textId="1F9A8E6E" w:rsidR="004329A7" w:rsidRPr="0009751C" w:rsidRDefault="004329A7" w:rsidP="005455A9">
            <w:pPr>
              <w:jc w:val="right"/>
              <w:rPr>
                <w:color w:val="000000"/>
                <w:sz w:val="18"/>
                <w:szCs w:val="18"/>
              </w:rPr>
            </w:pPr>
            <w:r w:rsidRPr="0009751C">
              <w:rPr>
                <w:color w:val="000000"/>
                <w:sz w:val="18"/>
                <w:szCs w:val="18"/>
              </w:rPr>
              <w:t>-0.039813</w:t>
            </w:r>
          </w:p>
        </w:tc>
      </w:tr>
      <w:tr w:rsidR="00A85BE5" w:rsidRPr="004329A7" w14:paraId="414996AB" w14:textId="77777777" w:rsidTr="00A85BE5">
        <w:trPr>
          <w:trHeight w:val="320"/>
        </w:trPr>
        <w:tc>
          <w:tcPr>
            <w:tcW w:w="1601" w:type="dxa"/>
            <w:tcBorders>
              <w:top w:val="nil"/>
              <w:left w:val="nil"/>
              <w:bottom w:val="nil"/>
              <w:right w:val="nil"/>
            </w:tcBorders>
            <w:shd w:val="clear" w:color="auto" w:fill="auto"/>
            <w:noWrap/>
            <w:vAlign w:val="bottom"/>
            <w:hideMark/>
          </w:tcPr>
          <w:p w14:paraId="6E2735A9" w14:textId="77777777" w:rsidR="004329A7" w:rsidRPr="0009751C" w:rsidRDefault="004329A7" w:rsidP="005455A9">
            <w:pPr>
              <w:rPr>
                <w:color w:val="000000"/>
                <w:sz w:val="18"/>
                <w:szCs w:val="18"/>
              </w:rPr>
            </w:pPr>
            <w:r w:rsidRPr="0009751C">
              <w:rPr>
                <w:color w:val="000000"/>
                <w:sz w:val="18"/>
                <w:szCs w:val="18"/>
              </w:rPr>
              <w:t>Property Id</w:t>
            </w:r>
          </w:p>
        </w:tc>
        <w:tc>
          <w:tcPr>
            <w:tcW w:w="1071" w:type="dxa"/>
            <w:tcBorders>
              <w:top w:val="nil"/>
              <w:left w:val="nil"/>
              <w:bottom w:val="nil"/>
              <w:right w:val="nil"/>
            </w:tcBorders>
            <w:shd w:val="clear" w:color="auto" w:fill="auto"/>
            <w:noWrap/>
            <w:vAlign w:val="bottom"/>
            <w:hideMark/>
          </w:tcPr>
          <w:p w14:paraId="7142866F" w14:textId="2E1A264B" w:rsidR="004329A7" w:rsidRPr="0009751C" w:rsidRDefault="004329A7" w:rsidP="005455A9">
            <w:pPr>
              <w:jc w:val="right"/>
              <w:rPr>
                <w:color w:val="000000"/>
                <w:sz w:val="18"/>
                <w:szCs w:val="18"/>
              </w:rPr>
            </w:pPr>
            <w:r w:rsidRPr="0009751C">
              <w:rPr>
                <w:color w:val="000000"/>
                <w:sz w:val="18"/>
                <w:szCs w:val="18"/>
              </w:rPr>
              <w:t>-0.27761</w:t>
            </w:r>
            <w:r w:rsidR="00F5005C">
              <w:rPr>
                <w:color w:val="000000"/>
                <w:sz w:val="18"/>
                <w:szCs w:val="18"/>
              </w:rPr>
              <w:t>3</w:t>
            </w:r>
          </w:p>
        </w:tc>
        <w:tc>
          <w:tcPr>
            <w:tcW w:w="1071" w:type="dxa"/>
            <w:tcBorders>
              <w:top w:val="nil"/>
              <w:left w:val="nil"/>
              <w:bottom w:val="nil"/>
              <w:right w:val="nil"/>
            </w:tcBorders>
            <w:shd w:val="clear" w:color="auto" w:fill="auto"/>
            <w:noWrap/>
            <w:vAlign w:val="bottom"/>
            <w:hideMark/>
          </w:tcPr>
          <w:p w14:paraId="202C3BB3" w14:textId="2EC6D100" w:rsidR="004329A7" w:rsidRPr="0009751C" w:rsidRDefault="004329A7" w:rsidP="005455A9">
            <w:pPr>
              <w:jc w:val="right"/>
              <w:rPr>
                <w:color w:val="000000"/>
                <w:sz w:val="18"/>
                <w:szCs w:val="18"/>
              </w:rPr>
            </w:pPr>
            <w:r w:rsidRPr="0009751C">
              <w:rPr>
                <w:color w:val="000000"/>
                <w:sz w:val="18"/>
                <w:szCs w:val="18"/>
              </w:rPr>
              <w:t>-0.1230</w:t>
            </w:r>
            <w:r w:rsidR="00F5005C">
              <w:rPr>
                <w:color w:val="000000"/>
                <w:sz w:val="18"/>
                <w:szCs w:val="18"/>
              </w:rPr>
              <w:t>2</w:t>
            </w:r>
          </w:p>
        </w:tc>
        <w:tc>
          <w:tcPr>
            <w:tcW w:w="1325" w:type="dxa"/>
            <w:tcBorders>
              <w:top w:val="nil"/>
              <w:left w:val="nil"/>
              <w:bottom w:val="nil"/>
              <w:right w:val="nil"/>
            </w:tcBorders>
            <w:shd w:val="clear" w:color="auto" w:fill="auto"/>
            <w:noWrap/>
            <w:vAlign w:val="bottom"/>
            <w:hideMark/>
          </w:tcPr>
          <w:p w14:paraId="5BFB00BE" w14:textId="7B7A019F" w:rsidR="004329A7" w:rsidRPr="0009751C" w:rsidRDefault="004329A7" w:rsidP="005455A9">
            <w:pPr>
              <w:jc w:val="right"/>
              <w:rPr>
                <w:color w:val="000000"/>
                <w:sz w:val="18"/>
                <w:szCs w:val="18"/>
              </w:rPr>
            </w:pPr>
            <w:r w:rsidRPr="0009751C">
              <w:rPr>
                <w:color w:val="000000"/>
                <w:sz w:val="18"/>
                <w:szCs w:val="18"/>
              </w:rPr>
              <w:t>0.079243</w:t>
            </w:r>
            <w:r w:rsidR="00256A36">
              <w:rPr>
                <w:color w:val="000000"/>
                <w:sz w:val="18"/>
                <w:szCs w:val="18"/>
              </w:rPr>
              <w:t>2</w:t>
            </w:r>
          </w:p>
        </w:tc>
        <w:tc>
          <w:tcPr>
            <w:tcW w:w="1075" w:type="dxa"/>
            <w:tcBorders>
              <w:top w:val="nil"/>
              <w:left w:val="nil"/>
              <w:bottom w:val="nil"/>
              <w:right w:val="nil"/>
            </w:tcBorders>
            <w:shd w:val="clear" w:color="auto" w:fill="auto"/>
            <w:noWrap/>
            <w:vAlign w:val="bottom"/>
            <w:hideMark/>
          </w:tcPr>
          <w:p w14:paraId="47585423" w14:textId="4D4530BE" w:rsidR="004329A7" w:rsidRPr="0009751C" w:rsidRDefault="004329A7" w:rsidP="005455A9">
            <w:pPr>
              <w:jc w:val="right"/>
              <w:rPr>
                <w:color w:val="000000"/>
                <w:sz w:val="18"/>
                <w:szCs w:val="18"/>
              </w:rPr>
            </w:pPr>
            <w:r w:rsidRPr="0009751C">
              <w:rPr>
                <w:color w:val="000000"/>
                <w:sz w:val="18"/>
                <w:szCs w:val="18"/>
              </w:rPr>
              <w:t>0.204827</w:t>
            </w:r>
            <w:r w:rsidR="003327C9">
              <w:rPr>
                <w:color w:val="000000"/>
                <w:sz w:val="18"/>
                <w:szCs w:val="18"/>
              </w:rPr>
              <w:t>2</w:t>
            </w:r>
          </w:p>
        </w:tc>
        <w:tc>
          <w:tcPr>
            <w:tcW w:w="1206" w:type="dxa"/>
            <w:tcBorders>
              <w:top w:val="nil"/>
              <w:left w:val="nil"/>
              <w:bottom w:val="nil"/>
              <w:right w:val="nil"/>
            </w:tcBorders>
            <w:shd w:val="clear" w:color="auto" w:fill="auto"/>
            <w:noWrap/>
            <w:vAlign w:val="bottom"/>
            <w:hideMark/>
          </w:tcPr>
          <w:p w14:paraId="22A097C3" w14:textId="5F3F7346" w:rsidR="004329A7" w:rsidRPr="0009751C" w:rsidRDefault="004329A7" w:rsidP="005455A9">
            <w:pPr>
              <w:jc w:val="right"/>
              <w:rPr>
                <w:color w:val="000000"/>
                <w:sz w:val="18"/>
                <w:szCs w:val="18"/>
              </w:rPr>
            </w:pPr>
            <w:r w:rsidRPr="0009751C">
              <w:rPr>
                <w:color w:val="000000"/>
                <w:sz w:val="18"/>
                <w:szCs w:val="18"/>
              </w:rPr>
              <w:t>0.02443</w:t>
            </w:r>
            <w:r w:rsidR="003327C9">
              <w:rPr>
                <w:color w:val="000000"/>
                <w:sz w:val="18"/>
                <w:szCs w:val="18"/>
              </w:rPr>
              <w:t>4</w:t>
            </w:r>
          </w:p>
        </w:tc>
        <w:tc>
          <w:tcPr>
            <w:tcW w:w="1071" w:type="dxa"/>
            <w:tcBorders>
              <w:top w:val="nil"/>
              <w:left w:val="nil"/>
              <w:bottom w:val="nil"/>
              <w:right w:val="nil"/>
            </w:tcBorders>
            <w:shd w:val="clear" w:color="auto" w:fill="auto"/>
            <w:noWrap/>
            <w:vAlign w:val="bottom"/>
            <w:hideMark/>
          </w:tcPr>
          <w:p w14:paraId="05EACD8A" w14:textId="77777777" w:rsidR="004329A7" w:rsidRPr="0009751C" w:rsidRDefault="004329A7" w:rsidP="005455A9">
            <w:pPr>
              <w:jc w:val="right"/>
              <w:rPr>
                <w:color w:val="000000"/>
                <w:sz w:val="18"/>
                <w:szCs w:val="18"/>
              </w:rPr>
            </w:pPr>
            <w:r w:rsidRPr="0009751C">
              <w:rPr>
                <w:color w:val="000000"/>
                <w:sz w:val="18"/>
                <w:szCs w:val="18"/>
              </w:rPr>
              <w:t>1</w:t>
            </w:r>
          </w:p>
        </w:tc>
        <w:tc>
          <w:tcPr>
            <w:tcW w:w="1071" w:type="dxa"/>
            <w:tcBorders>
              <w:top w:val="nil"/>
              <w:left w:val="nil"/>
              <w:bottom w:val="nil"/>
              <w:right w:val="nil"/>
            </w:tcBorders>
            <w:shd w:val="clear" w:color="auto" w:fill="auto"/>
            <w:noWrap/>
            <w:vAlign w:val="bottom"/>
            <w:hideMark/>
          </w:tcPr>
          <w:p w14:paraId="1BDBD55E" w14:textId="46746C18" w:rsidR="004329A7" w:rsidRPr="0009751C" w:rsidRDefault="004329A7" w:rsidP="005455A9">
            <w:pPr>
              <w:jc w:val="right"/>
              <w:rPr>
                <w:color w:val="000000"/>
                <w:sz w:val="18"/>
                <w:szCs w:val="18"/>
              </w:rPr>
            </w:pPr>
            <w:r w:rsidRPr="0009751C">
              <w:rPr>
                <w:color w:val="000000"/>
                <w:sz w:val="18"/>
                <w:szCs w:val="18"/>
              </w:rPr>
              <w:t>0.19783</w:t>
            </w:r>
            <w:r w:rsidR="005A3E8C">
              <w:rPr>
                <w:color w:val="000000"/>
                <w:sz w:val="18"/>
                <w:szCs w:val="18"/>
              </w:rPr>
              <w:t>8</w:t>
            </w:r>
          </w:p>
        </w:tc>
        <w:tc>
          <w:tcPr>
            <w:tcW w:w="1071" w:type="dxa"/>
            <w:tcBorders>
              <w:top w:val="nil"/>
              <w:left w:val="nil"/>
              <w:bottom w:val="nil"/>
              <w:right w:val="nil"/>
            </w:tcBorders>
            <w:shd w:val="clear" w:color="auto" w:fill="auto"/>
            <w:noWrap/>
            <w:vAlign w:val="bottom"/>
            <w:hideMark/>
          </w:tcPr>
          <w:p w14:paraId="5B952D65" w14:textId="778E7C9A" w:rsidR="004329A7" w:rsidRPr="0009751C" w:rsidRDefault="004329A7" w:rsidP="005455A9">
            <w:pPr>
              <w:jc w:val="right"/>
              <w:rPr>
                <w:color w:val="000000"/>
                <w:sz w:val="18"/>
                <w:szCs w:val="18"/>
              </w:rPr>
            </w:pPr>
            <w:r w:rsidRPr="0009751C">
              <w:rPr>
                <w:color w:val="000000"/>
                <w:sz w:val="18"/>
                <w:szCs w:val="18"/>
              </w:rPr>
              <w:t>0.14426</w:t>
            </w:r>
            <w:r w:rsidR="003E228A">
              <w:rPr>
                <w:color w:val="000000"/>
                <w:sz w:val="18"/>
                <w:szCs w:val="18"/>
              </w:rPr>
              <w:t>4</w:t>
            </w:r>
          </w:p>
        </w:tc>
        <w:tc>
          <w:tcPr>
            <w:tcW w:w="1046" w:type="dxa"/>
            <w:tcBorders>
              <w:top w:val="nil"/>
              <w:left w:val="nil"/>
              <w:bottom w:val="nil"/>
              <w:right w:val="nil"/>
            </w:tcBorders>
            <w:shd w:val="clear" w:color="auto" w:fill="auto"/>
            <w:noWrap/>
            <w:vAlign w:val="bottom"/>
            <w:hideMark/>
          </w:tcPr>
          <w:p w14:paraId="04FB6904" w14:textId="68B515B9" w:rsidR="004329A7" w:rsidRPr="0009751C" w:rsidRDefault="004329A7" w:rsidP="005455A9">
            <w:pPr>
              <w:jc w:val="right"/>
              <w:rPr>
                <w:color w:val="000000"/>
                <w:sz w:val="18"/>
                <w:szCs w:val="18"/>
              </w:rPr>
            </w:pPr>
            <w:r w:rsidRPr="0009751C">
              <w:rPr>
                <w:color w:val="000000"/>
                <w:sz w:val="18"/>
                <w:szCs w:val="18"/>
              </w:rPr>
              <w:t>-0.0172</w:t>
            </w:r>
            <w:r w:rsidR="003E228A">
              <w:rPr>
                <w:color w:val="000000"/>
                <w:sz w:val="18"/>
                <w:szCs w:val="18"/>
              </w:rPr>
              <w:t>2</w:t>
            </w:r>
          </w:p>
        </w:tc>
        <w:tc>
          <w:tcPr>
            <w:tcW w:w="1216" w:type="dxa"/>
            <w:tcBorders>
              <w:top w:val="nil"/>
              <w:left w:val="nil"/>
              <w:bottom w:val="nil"/>
              <w:right w:val="nil"/>
            </w:tcBorders>
            <w:shd w:val="clear" w:color="auto" w:fill="auto"/>
            <w:noWrap/>
            <w:vAlign w:val="bottom"/>
            <w:hideMark/>
          </w:tcPr>
          <w:p w14:paraId="3BF87274" w14:textId="15194A05" w:rsidR="004329A7" w:rsidRPr="0009751C" w:rsidRDefault="004329A7" w:rsidP="005455A9">
            <w:pPr>
              <w:jc w:val="right"/>
              <w:rPr>
                <w:color w:val="000000"/>
                <w:sz w:val="18"/>
                <w:szCs w:val="18"/>
              </w:rPr>
            </w:pPr>
            <w:r w:rsidRPr="0009751C">
              <w:rPr>
                <w:color w:val="000000"/>
                <w:sz w:val="18"/>
                <w:szCs w:val="18"/>
              </w:rPr>
              <w:t>0.065619</w:t>
            </w:r>
          </w:p>
        </w:tc>
        <w:tc>
          <w:tcPr>
            <w:tcW w:w="1071" w:type="dxa"/>
            <w:tcBorders>
              <w:top w:val="nil"/>
              <w:left w:val="nil"/>
              <w:bottom w:val="nil"/>
              <w:right w:val="nil"/>
            </w:tcBorders>
            <w:shd w:val="clear" w:color="auto" w:fill="auto"/>
            <w:noWrap/>
            <w:vAlign w:val="bottom"/>
            <w:hideMark/>
          </w:tcPr>
          <w:p w14:paraId="454BA83A" w14:textId="34E9E078" w:rsidR="004329A7" w:rsidRPr="0009751C" w:rsidRDefault="004329A7" w:rsidP="005455A9">
            <w:pPr>
              <w:jc w:val="right"/>
              <w:rPr>
                <w:color w:val="000000"/>
                <w:sz w:val="18"/>
                <w:szCs w:val="18"/>
              </w:rPr>
            </w:pPr>
            <w:r w:rsidRPr="0009751C">
              <w:rPr>
                <w:color w:val="000000"/>
                <w:sz w:val="18"/>
                <w:szCs w:val="18"/>
              </w:rPr>
              <w:t>-0.11288</w:t>
            </w:r>
          </w:p>
        </w:tc>
        <w:tc>
          <w:tcPr>
            <w:tcW w:w="422" w:type="dxa"/>
            <w:tcBorders>
              <w:top w:val="nil"/>
              <w:left w:val="nil"/>
              <w:bottom w:val="nil"/>
              <w:right w:val="nil"/>
            </w:tcBorders>
            <w:shd w:val="clear" w:color="auto" w:fill="auto"/>
            <w:noWrap/>
            <w:vAlign w:val="bottom"/>
            <w:hideMark/>
          </w:tcPr>
          <w:p w14:paraId="02819BFB" w14:textId="0756D7CC" w:rsidR="004329A7" w:rsidRPr="0009751C" w:rsidRDefault="004329A7" w:rsidP="005455A9">
            <w:pPr>
              <w:jc w:val="right"/>
              <w:rPr>
                <w:color w:val="000000"/>
                <w:sz w:val="18"/>
                <w:szCs w:val="18"/>
              </w:rPr>
            </w:pPr>
            <w:r w:rsidRPr="0009751C">
              <w:rPr>
                <w:color w:val="000000"/>
                <w:sz w:val="18"/>
                <w:szCs w:val="18"/>
              </w:rPr>
              <w:t>0.063782</w:t>
            </w:r>
          </w:p>
        </w:tc>
      </w:tr>
      <w:tr w:rsidR="00A85BE5" w:rsidRPr="004329A7" w14:paraId="2E987FF6" w14:textId="77777777" w:rsidTr="00A85BE5">
        <w:trPr>
          <w:trHeight w:val="320"/>
        </w:trPr>
        <w:tc>
          <w:tcPr>
            <w:tcW w:w="1601" w:type="dxa"/>
            <w:tcBorders>
              <w:top w:val="nil"/>
              <w:left w:val="nil"/>
              <w:bottom w:val="nil"/>
              <w:right w:val="nil"/>
            </w:tcBorders>
            <w:shd w:val="clear" w:color="auto" w:fill="auto"/>
            <w:noWrap/>
            <w:vAlign w:val="bottom"/>
            <w:hideMark/>
          </w:tcPr>
          <w:p w14:paraId="3F25F797" w14:textId="77777777" w:rsidR="004329A7" w:rsidRPr="0009751C" w:rsidRDefault="004329A7" w:rsidP="005455A9">
            <w:pPr>
              <w:rPr>
                <w:color w:val="000000"/>
                <w:sz w:val="18"/>
                <w:szCs w:val="18"/>
              </w:rPr>
            </w:pPr>
            <w:r w:rsidRPr="0009751C">
              <w:rPr>
                <w:color w:val="000000"/>
                <w:sz w:val="18"/>
                <w:szCs w:val="18"/>
              </w:rPr>
              <w:t>Total lots</w:t>
            </w:r>
          </w:p>
        </w:tc>
        <w:tc>
          <w:tcPr>
            <w:tcW w:w="1071" w:type="dxa"/>
            <w:tcBorders>
              <w:top w:val="nil"/>
              <w:left w:val="nil"/>
              <w:bottom w:val="nil"/>
              <w:right w:val="nil"/>
            </w:tcBorders>
            <w:shd w:val="clear" w:color="auto" w:fill="auto"/>
            <w:noWrap/>
            <w:vAlign w:val="bottom"/>
            <w:hideMark/>
          </w:tcPr>
          <w:p w14:paraId="2E9821B1" w14:textId="3C3BD93F" w:rsidR="004329A7" w:rsidRPr="0009751C" w:rsidRDefault="004329A7" w:rsidP="005455A9">
            <w:pPr>
              <w:jc w:val="right"/>
              <w:rPr>
                <w:color w:val="000000"/>
                <w:sz w:val="18"/>
                <w:szCs w:val="18"/>
              </w:rPr>
            </w:pPr>
            <w:r w:rsidRPr="0009751C">
              <w:rPr>
                <w:color w:val="000000"/>
                <w:sz w:val="18"/>
                <w:szCs w:val="18"/>
              </w:rPr>
              <w:t>-0.077165</w:t>
            </w:r>
          </w:p>
        </w:tc>
        <w:tc>
          <w:tcPr>
            <w:tcW w:w="1071" w:type="dxa"/>
            <w:tcBorders>
              <w:top w:val="nil"/>
              <w:left w:val="nil"/>
              <w:bottom w:val="nil"/>
              <w:right w:val="nil"/>
            </w:tcBorders>
            <w:shd w:val="clear" w:color="auto" w:fill="auto"/>
            <w:noWrap/>
            <w:vAlign w:val="bottom"/>
            <w:hideMark/>
          </w:tcPr>
          <w:p w14:paraId="1D5141DE" w14:textId="06115D48" w:rsidR="004329A7" w:rsidRPr="0009751C" w:rsidRDefault="004329A7" w:rsidP="005455A9">
            <w:pPr>
              <w:jc w:val="right"/>
              <w:rPr>
                <w:color w:val="000000"/>
                <w:sz w:val="18"/>
                <w:szCs w:val="18"/>
              </w:rPr>
            </w:pPr>
            <w:r w:rsidRPr="0009751C">
              <w:rPr>
                <w:color w:val="000000"/>
                <w:sz w:val="18"/>
                <w:szCs w:val="18"/>
              </w:rPr>
              <w:t>-0.01045</w:t>
            </w:r>
          </w:p>
        </w:tc>
        <w:tc>
          <w:tcPr>
            <w:tcW w:w="1325" w:type="dxa"/>
            <w:tcBorders>
              <w:top w:val="nil"/>
              <w:left w:val="nil"/>
              <w:bottom w:val="nil"/>
              <w:right w:val="nil"/>
            </w:tcBorders>
            <w:shd w:val="clear" w:color="auto" w:fill="auto"/>
            <w:noWrap/>
            <w:vAlign w:val="bottom"/>
            <w:hideMark/>
          </w:tcPr>
          <w:p w14:paraId="5158AED3" w14:textId="20B1AE0E" w:rsidR="004329A7" w:rsidRPr="0009751C" w:rsidRDefault="004329A7" w:rsidP="005455A9">
            <w:pPr>
              <w:jc w:val="right"/>
              <w:rPr>
                <w:color w:val="000000"/>
                <w:sz w:val="18"/>
                <w:szCs w:val="18"/>
              </w:rPr>
            </w:pPr>
            <w:r w:rsidRPr="0009751C">
              <w:rPr>
                <w:color w:val="000000"/>
                <w:sz w:val="18"/>
                <w:szCs w:val="18"/>
              </w:rPr>
              <w:t>0.123333</w:t>
            </w:r>
            <w:r w:rsidR="00256A36">
              <w:rPr>
                <w:color w:val="000000"/>
                <w:sz w:val="18"/>
                <w:szCs w:val="18"/>
              </w:rPr>
              <w:t>2</w:t>
            </w:r>
          </w:p>
        </w:tc>
        <w:tc>
          <w:tcPr>
            <w:tcW w:w="1075" w:type="dxa"/>
            <w:tcBorders>
              <w:top w:val="nil"/>
              <w:left w:val="nil"/>
              <w:bottom w:val="nil"/>
              <w:right w:val="nil"/>
            </w:tcBorders>
            <w:shd w:val="clear" w:color="auto" w:fill="auto"/>
            <w:noWrap/>
            <w:vAlign w:val="bottom"/>
            <w:hideMark/>
          </w:tcPr>
          <w:p w14:paraId="5237B1F0" w14:textId="21C6FA21" w:rsidR="004329A7" w:rsidRPr="0009751C" w:rsidRDefault="004329A7" w:rsidP="005455A9">
            <w:pPr>
              <w:jc w:val="right"/>
              <w:rPr>
                <w:color w:val="000000"/>
                <w:sz w:val="18"/>
                <w:szCs w:val="18"/>
              </w:rPr>
            </w:pPr>
            <w:r w:rsidRPr="0009751C">
              <w:rPr>
                <w:color w:val="000000"/>
                <w:sz w:val="18"/>
                <w:szCs w:val="18"/>
              </w:rPr>
              <w:t>0.2150959</w:t>
            </w:r>
          </w:p>
        </w:tc>
        <w:tc>
          <w:tcPr>
            <w:tcW w:w="1206" w:type="dxa"/>
            <w:tcBorders>
              <w:top w:val="nil"/>
              <w:left w:val="nil"/>
              <w:bottom w:val="nil"/>
              <w:right w:val="nil"/>
            </w:tcBorders>
            <w:shd w:val="clear" w:color="auto" w:fill="auto"/>
            <w:noWrap/>
            <w:vAlign w:val="bottom"/>
            <w:hideMark/>
          </w:tcPr>
          <w:p w14:paraId="3DB2237F" w14:textId="203622D7" w:rsidR="004329A7" w:rsidRPr="0009751C" w:rsidRDefault="004329A7" w:rsidP="005455A9">
            <w:pPr>
              <w:jc w:val="right"/>
              <w:rPr>
                <w:color w:val="000000"/>
                <w:sz w:val="18"/>
                <w:szCs w:val="18"/>
              </w:rPr>
            </w:pPr>
            <w:r w:rsidRPr="0009751C">
              <w:rPr>
                <w:color w:val="000000"/>
                <w:sz w:val="18"/>
                <w:szCs w:val="18"/>
              </w:rPr>
              <w:t>-0.010825</w:t>
            </w:r>
          </w:p>
        </w:tc>
        <w:tc>
          <w:tcPr>
            <w:tcW w:w="1071" w:type="dxa"/>
            <w:tcBorders>
              <w:top w:val="nil"/>
              <w:left w:val="nil"/>
              <w:bottom w:val="nil"/>
              <w:right w:val="nil"/>
            </w:tcBorders>
            <w:shd w:val="clear" w:color="auto" w:fill="auto"/>
            <w:noWrap/>
            <w:vAlign w:val="bottom"/>
            <w:hideMark/>
          </w:tcPr>
          <w:p w14:paraId="76089AC5" w14:textId="168EE218" w:rsidR="004329A7" w:rsidRPr="0009751C" w:rsidRDefault="004329A7" w:rsidP="005455A9">
            <w:pPr>
              <w:jc w:val="right"/>
              <w:rPr>
                <w:color w:val="000000"/>
                <w:sz w:val="18"/>
                <w:szCs w:val="18"/>
              </w:rPr>
            </w:pPr>
            <w:r w:rsidRPr="0009751C">
              <w:rPr>
                <w:color w:val="000000"/>
                <w:sz w:val="18"/>
                <w:szCs w:val="18"/>
              </w:rPr>
              <w:t>0.19783</w:t>
            </w:r>
            <w:r w:rsidR="00D812C8">
              <w:rPr>
                <w:color w:val="000000"/>
                <w:sz w:val="18"/>
                <w:szCs w:val="18"/>
              </w:rPr>
              <w:t>8</w:t>
            </w:r>
          </w:p>
        </w:tc>
        <w:tc>
          <w:tcPr>
            <w:tcW w:w="1071" w:type="dxa"/>
            <w:tcBorders>
              <w:top w:val="nil"/>
              <w:left w:val="nil"/>
              <w:bottom w:val="nil"/>
              <w:right w:val="nil"/>
            </w:tcBorders>
            <w:shd w:val="clear" w:color="auto" w:fill="auto"/>
            <w:noWrap/>
            <w:vAlign w:val="bottom"/>
            <w:hideMark/>
          </w:tcPr>
          <w:p w14:paraId="43267D63" w14:textId="77777777" w:rsidR="004329A7" w:rsidRPr="0009751C" w:rsidRDefault="004329A7" w:rsidP="005455A9">
            <w:pPr>
              <w:jc w:val="right"/>
              <w:rPr>
                <w:color w:val="000000"/>
                <w:sz w:val="18"/>
                <w:szCs w:val="18"/>
              </w:rPr>
            </w:pPr>
            <w:r w:rsidRPr="0009751C">
              <w:rPr>
                <w:color w:val="000000"/>
                <w:sz w:val="18"/>
                <w:szCs w:val="18"/>
              </w:rPr>
              <w:t>1</w:t>
            </w:r>
          </w:p>
        </w:tc>
        <w:tc>
          <w:tcPr>
            <w:tcW w:w="1071" w:type="dxa"/>
            <w:tcBorders>
              <w:top w:val="nil"/>
              <w:left w:val="nil"/>
              <w:bottom w:val="nil"/>
              <w:right w:val="nil"/>
            </w:tcBorders>
            <w:shd w:val="clear" w:color="auto" w:fill="auto"/>
            <w:noWrap/>
            <w:vAlign w:val="bottom"/>
            <w:hideMark/>
          </w:tcPr>
          <w:p w14:paraId="36A5288A" w14:textId="458BA9EE" w:rsidR="004329A7" w:rsidRPr="0009751C" w:rsidRDefault="004329A7" w:rsidP="005455A9">
            <w:pPr>
              <w:jc w:val="right"/>
              <w:rPr>
                <w:color w:val="000000"/>
                <w:sz w:val="18"/>
                <w:szCs w:val="18"/>
              </w:rPr>
            </w:pPr>
            <w:r w:rsidRPr="0009751C">
              <w:rPr>
                <w:color w:val="000000"/>
                <w:sz w:val="18"/>
                <w:szCs w:val="18"/>
              </w:rPr>
              <w:t>-0.0309</w:t>
            </w:r>
            <w:r w:rsidR="00AA09F2">
              <w:rPr>
                <w:color w:val="000000"/>
                <w:sz w:val="18"/>
                <w:szCs w:val="18"/>
              </w:rPr>
              <w:t>3</w:t>
            </w:r>
          </w:p>
        </w:tc>
        <w:tc>
          <w:tcPr>
            <w:tcW w:w="1046" w:type="dxa"/>
            <w:tcBorders>
              <w:top w:val="nil"/>
              <w:left w:val="nil"/>
              <w:bottom w:val="nil"/>
              <w:right w:val="nil"/>
            </w:tcBorders>
            <w:shd w:val="clear" w:color="auto" w:fill="auto"/>
            <w:noWrap/>
            <w:vAlign w:val="bottom"/>
            <w:hideMark/>
          </w:tcPr>
          <w:p w14:paraId="79110D59" w14:textId="1919CF95" w:rsidR="004329A7" w:rsidRPr="0009751C" w:rsidRDefault="004329A7" w:rsidP="005455A9">
            <w:pPr>
              <w:jc w:val="right"/>
              <w:rPr>
                <w:color w:val="000000"/>
                <w:sz w:val="18"/>
                <w:szCs w:val="18"/>
              </w:rPr>
            </w:pPr>
            <w:r w:rsidRPr="0009751C">
              <w:rPr>
                <w:color w:val="000000"/>
                <w:sz w:val="18"/>
                <w:szCs w:val="18"/>
              </w:rPr>
              <w:t>-0.01996</w:t>
            </w:r>
            <w:r w:rsidR="003E228A">
              <w:rPr>
                <w:color w:val="000000"/>
                <w:sz w:val="18"/>
                <w:szCs w:val="18"/>
              </w:rPr>
              <w:t>5</w:t>
            </w:r>
          </w:p>
        </w:tc>
        <w:tc>
          <w:tcPr>
            <w:tcW w:w="1216" w:type="dxa"/>
            <w:tcBorders>
              <w:top w:val="nil"/>
              <w:left w:val="nil"/>
              <w:bottom w:val="nil"/>
              <w:right w:val="nil"/>
            </w:tcBorders>
            <w:shd w:val="clear" w:color="auto" w:fill="auto"/>
            <w:noWrap/>
            <w:vAlign w:val="bottom"/>
            <w:hideMark/>
          </w:tcPr>
          <w:p w14:paraId="1E39F9A8" w14:textId="6DCB594D" w:rsidR="004329A7" w:rsidRPr="0009751C" w:rsidRDefault="004329A7" w:rsidP="005455A9">
            <w:pPr>
              <w:jc w:val="right"/>
              <w:rPr>
                <w:color w:val="000000"/>
                <w:sz w:val="18"/>
                <w:szCs w:val="18"/>
              </w:rPr>
            </w:pPr>
            <w:r w:rsidRPr="0009751C">
              <w:rPr>
                <w:color w:val="000000"/>
                <w:sz w:val="18"/>
                <w:szCs w:val="18"/>
              </w:rPr>
              <w:t>0.030662</w:t>
            </w:r>
            <w:r w:rsidR="003E228A">
              <w:rPr>
                <w:color w:val="000000"/>
                <w:sz w:val="18"/>
                <w:szCs w:val="18"/>
              </w:rPr>
              <w:t>6</w:t>
            </w:r>
          </w:p>
        </w:tc>
        <w:tc>
          <w:tcPr>
            <w:tcW w:w="1071" w:type="dxa"/>
            <w:tcBorders>
              <w:top w:val="nil"/>
              <w:left w:val="nil"/>
              <w:bottom w:val="nil"/>
              <w:right w:val="nil"/>
            </w:tcBorders>
            <w:shd w:val="clear" w:color="auto" w:fill="auto"/>
            <w:noWrap/>
            <w:vAlign w:val="bottom"/>
            <w:hideMark/>
          </w:tcPr>
          <w:p w14:paraId="312B7248" w14:textId="3477C9A8" w:rsidR="004329A7" w:rsidRPr="0009751C" w:rsidRDefault="004329A7" w:rsidP="005455A9">
            <w:pPr>
              <w:jc w:val="right"/>
              <w:rPr>
                <w:color w:val="000000"/>
                <w:sz w:val="18"/>
                <w:szCs w:val="18"/>
              </w:rPr>
            </w:pPr>
            <w:r w:rsidRPr="0009751C">
              <w:rPr>
                <w:color w:val="000000"/>
                <w:sz w:val="18"/>
                <w:szCs w:val="18"/>
              </w:rPr>
              <w:t>-0.04742</w:t>
            </w:r>
          </w:p>
        </w:tc>
        <w:tc>
          <w:tcPr>
            <w:tcW w:w="422" w:type="dxa"/>
            <w:tcBorders>
              <w:top w:val="nil"/>
              <w:left w:val="nil"/>
              <w:bottom w:val="nil"/>
              <w:right w:val="nil"/>
            </w:tcBorders>
            <w:shd w:val="clear" w:color="auto" w:fill="auto"/>
            <w:noWrap/>
            <w:vAlign w:val="bottom"/>
            <w:hideMark/>
          </w:tcPr>
          <w:p w14:paraId="6ACBFC3C" w14:textId="68775877" w:rsidR="004329A7" w:rsidRPr="0009751C" w:rsidRDefault="004329A7" w:rsidP="005455A9">
            <w:pPr>
              <w:jc w:val="right"/>
              <w:rPr>
                <w:color w:val="000000"/>
                <w:sz w:val="18"/>
                <w:szCs w:val="18"/>
              </w:rPr>
            </w:pPr>
            <w:r w:rsidRPr="0009751C">
              <w:rPr>
                <w:color w:val="000000"/>
                <w:sz w:val="18"/>
                <w:szCs w:val="18"/>
              </w:rPr>
              <w:t>0.024432</w:t>
            </w:r>
            <w:r w:rsidR="004559A2">
              <w:rPr>
                <w:color w:val="000000"/>
                <w:sz w:val="18"/>
                <w:szCs w:val="18"/>
              </w:rPr>
              <w:t>1</w:t>
            </w:r>
          </w:p>
        </w:tc>
      </w:tr>
      <w:tr w:rsidR="00A85BE5" w:rsidRPr="004329A7" w14:paraId="0449C911" w14:textId="77777777" w:rsidTr="00A85BE5">
        <w:trPr>
          <w:trHeight w:val="320"/>
        </w:trPr>
        <w:tc>
          <w:tcPr>
            <w:tcW w:w="1601" w:type="dxa"/>
            <w:tcBorders>
              <w:top w:val="nil"/>
              <w:left w:val="nil"/>
              <w:bottom w:val="nil"/>
              <w:right w:val="nil"/>
            </w:tcBorders>
            <w:shd w:val="clear" w:color="auto" w:fill="auto"/>
            <w:noWrap/>
            <w:vAlign w:val="bottom"/>
            <w:hideMark/>
          </w:tcPr>
          <w:p w14:paraId="2B71C514" w14:textId="77777777" w:rsidR="004329A7" w:rsidRPr="0009751C" w:rsidRDefault="004329A7" w:rsidP="005455A9">
            <w:pPr>
              <w:rPr>
                <w:color w:val="000000"/>
                <w:sz w:val="18"/>
                <w:szCs w:val="18"/>
              </w:rPr>
            </w:pPr>
            <w:r w:rsidRPr="0009751C">
              <w:rPr>
                <w:color w:val="000000"/>
                <w:sz w:val="18"/>
                <w:szCs w:val="18"/>
              </w:rPr>
              <w:t>WithinPrecinct</w:t>
            </w:r>
          </w:p>
        </w:tc>
        <w:tc>
          <w:tcPr>
            <w:tcW w:w="1071" w:type="dxa"/>
            <w:tcBorders>
              <w:top w:val="nil"/>
              <w:left w:val="nil"/>
              <w:bottom w:val="nil"/>
              <w:right w:val="nil"/>
            </w:tcBorders>
            <w:shd w:val="clear" w:color="auto" w:fill="auto"/>
            <w:noWrap/>
            <w:vAlign w:val="bottom"/>
            <w:hideMark/>
          </w:tcPr>
          <w:p w14:paraId="46A25965" w14:textId="1E5A64FF" w:rsidR="004329A7" w:rsidRPr="0009751C" w:rsidRDefault="004329A7" w:rsidP="005455A9">
            <w:pPr>
              <w:jc w:val="right"/>
              <w:rPr>
                <w:color w:val="000000"/>
                <w:sz w:val="18"/>
                <w:szCs w:val="18"/>
              </w:rPr>
            </w:pPr>
            <w:r w:rsidRPr="0009751C">
              <w:rPr>
                <w:color w:val="000000"/>
                <w:sz w:val="18"/>
                <w:szCs w:val="18"/>
              </w:rPr>
              <w:t>-0.05666</w:t>
            </w:r>
            <w:r w:rsidR="00F5005C">
              <w:rPr>
                <w:color w:val="000000"/>
                <w:sz w:val="18"/>
                <w:szCs w:val="18"/>
              </w:rPr>
              <w:t>6</w:t>
            </w:r>
          </w:p>
        </w:tc>
        <w:tc>
          <w:tcPr>
            <w:tcW w:w="1071" w:type="dxa"/>
            <w:tcBorders>
              <w:top w:val="nil"/>
              <w:left w:val="nil"/>
              <w:bottom w:val="nil"/>
              <w:right w:val="nil"/>
            </w:tcBorders>
            <w:shd w:val="clear" w:color="auto" w:fill="auto"/>
            <w:noWrap/>
            <w:vAlign w:val="bottom"/>
            <w:hideMark/>
          </w:tcPr>
          <w:p w14:paraId="5D4C5C52" w14:textId="1F36B6DF" w:rsidR="004329A7" w:rsidRPr="0009751C" w:rsidRDefault="004329A7" w:rsidP="005455A9">
            <w:pPr>
              <w:jc w:val="right"/>
              <w:rPr>
                <w:color w:val="000000"/>
                <w:sz w:val="18"/>
                <w:szCs w:val="18"/>
              </w:rPr>
            </w:pPr>
            <w:r w:rsidRPr="0009751C">
              <w:rPr>
                <w:color w:val="000000"/>
                <w:sz w:val="18"/>
                <w:szCs w:val="18"/>
              </w:rPr>
              <w:t>0.07711</w:t>
            </w:r>
            <w:r w:rsidR="00F5005C">
              <w:rPr>
                <w:color w:val="000000"/>
                <w:sz w:val="18"/>
                <w:szCs w:val="18"/>
              </w:rPr>
              <w:t>8</w:t>
            </w:r>
          </w:p>
        </w:tc>
        <w:tc>
          <w:tcPr>
            <w:tcW w:w="1325" w:type="dxa"/>
            <w:tcBorders>
              <w:top w:val="nil"/>
              <w:left w:val="nil"/>
              <w:bottom w:val="nil"/>
              <w:right w:val="nil"/>
            </w:tcBorders>
            <w:shd w:val="clear" w:color="auto" w:fill="auto"/>
            <w:noWrap/>
            <w:vAlign w:val="bottom"/>
            <w:hideMark/>
          </w:tcPr>
          <w:p w14:paraId="557E8D74" w14:textId="5B6F0A34" w:rsidR="004329A7" w:rsidRPr="0009751C" w:rsidRDefault="004329A7" w:rsidP="005455A9">
            <w:pPr>
              <w:jc w:val="right"/>
              <w:rPr>
                <w:color w:val="000000"/>
                <w:sz w:val="18"/>
                <w:szCs w:val="18"/>
              </w:rPr>
            </w:pPr>
            <w:r w:rsidRPr="0009751C">
              <w:rPr>
                <w:color w:val="000000"/>
                <w:sz w:val="18"/>
                <w:szCs w:val="18"/>
              </w:rPr>
              <w:t>0.0083073</w:t>
            </w:r>
          </w:p>
        </w:tc>
        <w:tc>
          <w:tcPr>
            <w:tcW w:w="1075" w:type="dxa"/>
            <w:tcBorders>
              <w:top w:val="nil"/>
              <w:left w:val="nil"/>
              <w:bottom w:val="nil"/>
              <w:right w:val="nil"/>
            </w:tcBorders>
            <w:shd w:val="clear" w:color="auto" w:fill="auto"/>
            <w:noWrap/>
            <w:vAlign w:val="bottom"/>
            <w:hideMark/>
          </w:tcPr>
          <w:p w14:paraId="730588E8" w14:textId="4D506F34" w:rsidR="004329A7" w:rsidRPr="0009751C" w:rsidRDefault="004329A7" w:rsidP="005455A9">
            <w:pPr>
              <w:jc w:val="right"/>
              <w:rPr>
                <w:color w:val="000000"/>
                <w:sz w:val="18"/>
                <w:szCs w:val="18"/>
              </w:rPr>
            </w:pPr>
            <w:r w:rsidRPr="0009751C">
              <w:rPr>
                <w:color w:val="000000"/>
                <w:sz w:val="18"/>
                <w:szCs w:val="18"/>
              </w:rPr>
              <w:t>0.0470687</w:t>
            </w:r>
          </w:p>
        </w:tc>
        <w:tc>
          <w:tcPr>
            <w:tcW w:w="1206" w:type="dxa"/>
            <w:tcBorders>
              <w:top w:val="nil"/>
              <w:left w:val="nil"/>
              <w:bottom w:val="nil"/>
              <w:right w:val="nil"/>
            </w:tcBorders>
            <w:shd w:val="clear" w:color="auto" w:fill="auto"/>
            <w:noWrap/>
            <w:vAlign w:val="bottom"/>
            <w:hideMark/>
          </w:tcPr>
          <w:p w14:paraId="36623075" w14:textId="45F4982D" w:rsidR="004329A7" w:rsidRPr="0009751C" w:rsidRDefault="004329A7" w:rsidP="005455A9">
            <w:pPr>
              <w:jc w:val="right"/>
              <w:rPr>
                <w:color w:val="000000"/>
                <w:sz w:val="18"/>
                <w:szCs w:val="18"/>
              </w:rPr>
            </w:pPr>
            <w:r w:rsidRPr="0009751C">
              <w:rPr>
                <w:color w:val="000000"/>
                <w:sz w:val="18"/>
                <w:szCs w:val="18"/>
              </w:rPr>
              <w:t>-0.01254</w:t>
            </w:r>
            <w:r w:rsidR="003327C9">
              <w:rPr>
                <w:color w:val="000000"/>
                <w:sz w:val="18"/>
                <w:szCs w:val="18"/>
              </w:rPr>
              <w:t>7</w:t>
            </w:r>
          </w:p>
        </w:tc>
        <w:tc>
          <w:tcPr>
            <w:tcW w:w="1071" w:type="dxa"/>
            <w:tcBorders>
              <w:top w:val="nil"/>
              <w:left w:val="nil"/>
              <w:bottom w:val="nil"/>
              <w:right w:val="nil"/>
            </w:tcBorders>
            <w:shd w:val="clear" w:color="auto" w:fill="auto"/>
            <w:noWrap/>
            <w:vAlign w:val="bottom"/>
            <w:hideMark/>
          </w:tcPr>
          <w:p w14:paraId="6FE9BBDD" w14:textId="794C1169" w:rsidR="004329A7" w:rsidRPr="0009751C" w:rsidRDefault="004329A7" w:rsidP="005455A9">
            <w:pPr>
              <w:jc w:val="right"/>
              <w:rPr>
                <w:color w:val="000000"/>
                <w:sz w:val="18"/>
                <w:szCs w:val="18"/>
              </w:rPr>
            </w:pPr>
            <w:r w:rsidRPr="0009751C">
              <w:rPr>
                <w:color w:val="000000"/>
                <w:sz w:val="18"/>
                <w:szCs w:val="18"/>
              </w:rPr>
              <w:t>0.144264</w:t>
            </w:r>
            <w:r w:rsidR="00D812C8">
              <w:rPr>
                <w:color w:val="000000"/>
                <w:sz w:val="18"/>
                <w:szCs w:val="18"/>
              </w:rPr>
              <w:t>2</w:t>
            </w:r>
          </w:p>
        </w:tc>
        <w:tc>
          <w:tcPr>
            <w:tcW w:w="1071" w:type="dxa"/>
            <w:tcBorders>
              <w:top w:val="nil"/>
              <w:left w:val="nil"/>
              <w:bottom w:val="nil"/>
              <w:right w:val="nil"/>
            </w:tcBorders>
            <w:shd w:val="clear" w:color="auto" w:fill="auto"/>
            <w:noWrap/>
            <w:vAlign w:val="bottom"/>
            <w:hideMark/>
          </w:tcPr>
          <w:p w14:paraId="74D8F26F" w14:textId="6AC61CD3" w:rsidR="004329A7" w:rsidRPr="0009751C" w:rsidRDefault="004329A7" w:rsidP="005455A9">
            <w:pPr>
              <w:jc w:val="right"/>
              <w:rPr>
                <w:color w:val="000000"/>
                <w:sz w:val="18"/>
                <w:szCs w:val="18"/>
              </w:rPr>
            </w:pPr>
            <w:r w:rsidRPr="0009751C">
              <w:rPr>
                <w:color w:val="000000"/>
                <w:sz w:val="18"/>
                <w:szCs w:val="18"/>
              </w:rPr>
              <w:t>-0.0309</w:t>
            </w:r>
            <w:r w:rsidR="005A3E8C">
              <w:rPr>
                <w:color w:val="000000"/>
                <w:sz w:val="18"/>
                <w:szCs w:val="18"/>
              </w:rPr>
              <w:t>3</w:t>
            </w:r>
          </w:p>
        </w:tc>
        <w:tc>
          <w:tcPr>
            <w:tcW w:w="1071" w:type="dxa"/>
            <w:tcBorders>
              <w:top w:val="nil"/>
              <w:left w:val="nil"/>
              <w:bottom w:val="nil"/>
              <w:right w:val="nil"/>
            </w:tcBorders>
            <w:shd w:val="clear" w:color="auto" w:fill="auto"/>
            <w:noWrap/>
            <w:vAlign w:val="bottom"/>
            <w:hideMark/>
          </w:tcPr>
          <w:p w14:paraId="41D994C5" w14:textId="77777777" w:rsidR="004329A7" w:rsidRPr="0009751C" w:rsidRDefault="004329A7" w:rsidP="005455A9">
            <w:pPr>
              <w:jc w:val="right"/>
              <w:rPr>
                <w:color w:val="000000"/>
                <w:sz w:val="18"/>
                <w:szCs w:val="18"/>
              </w:rPr>
            </w:pPr>
            <w:r w:rsidRPr="0009751C">
              <w:rPr>
                <w:color w:val="000000"/>
                <w:sz w:val="18"/>
                <w:szCs w:val="18"/>
              </w:rPr>
              <w:t>1</w:t>
            </w:r>
          </w:p>
        </w:tc>
        <w:tc>
          <w:tcPr>
            <w:tcW w:w="1046" w:type="dxa"/>
            <w:tcBorders>
              <w:top w:val="nil"/>
              <w:left w:val="nil"/>
              <w:bottom w:val="nil"/>
              <w:right w:val="nil"/>
            </w:tcBorders>
            <w:shd w:val="clear" w:color="auto" w:fill="auto"/>
            <w:noWrap/>
            <w:vAlign w:val="bottom"/>
            <w:hideMark/>
          </w:tcPr>
          <w:p w14:paraId="532D1A90" w14:textId="46F590F2" w:rsidR="004329A7" w:rsidRPr="0009751C" w:rsidRDefault="004329A7" w:rsidP="005455A9">
            <w:pPr>
              <w:jc w:val="right"/>
              <w:rPr>
                <w:color w:val="000000"/>
                <w:sz w:val="18"/>
                <w:szCs w:val="18"/>
              </w:rPr>
            </w:pPr>
            <w:r w:rsidRPr="0009751C">
              <w:rPr>
                <w:color w:val="000000"/>
                <w:sz w:val="18"/>
                <w:szCs w:val="18"/>
              </w:rPr>
              <w:t>-0.37851</w:t>
            </w:r>
            <w:r w:rsidR="003E228A">
              <w:rPr>
                <w:color w:val="000000"/>
                <w:sz w:val="18"/>
                <w:szCs w:val="18"/>
              </w:rPr>
              <w:t>1</w:t>
            </w:r>
          </w:p>
        </w:tc>
        <w:tc>
          <w:tcPr>
            <w:tcW w:w="1216" w:type="dxa"/>
            <w:tcBorders>
              <w:top w:val="nil"/>
              <w:left w:val="nil"/>
              <w:bottom w:val="nil"/>
              <w:right w:val="nil"/>
            </w:tcBorders>
            <w:shd w:val="clear" w:color="auto" w:fill="auto"/>
            <w:noWrap/>
            <w:vAlign w:val="bottom"/>
            <w:hideMark/>
          </w:tcPr>
          <w:p w14:paraId="0460EDB8" w14:textId="2D2DE013" w:rsidR="004329A7" w:rsidRPr="0009751C" w:rsidRDefault="004329A7" w:rsidP="005455A9">
            <w:pPr>
              <w:jc w:val="right"/>
              <w:rPr>
                <w:color w:val="000000"/>
                <w:sz w:val="18"/>
                <w:szCs w:val="18"/>
              </w:rPr>
            </w:pPr>
            <w:r w:rsidRPr="0009751C">
              <w:rPr>
                <w:color w:val="000000"/>
                <w:sz w:val="18"/>
                <w:szCs w:val="18"/>
              </w:rPr>
              <w:t>0.4270084</w:t>
            </w:r>
          </w:p>
        </w:tc>
        <w:tc>
          <w:tcPr>
            <w:tcW w:w="1071" w:type="dxa"/>
            <w:tcBorders>
              <w:top w:val="nil"/>
              <w:left w:val="nil"/>
              <w:bottom w:val="nil"/>
              <w:right w:val="nil"/>
            </w:tcBorders>
            <w:shd w:val="clear" w:color="auto" w:fill="auto"/>
            <w:noWrap/>
            <w:vAlign w:val="bottom"/>
            <w:hideMark/>
          </w:tcPr>
          <w:p w14:paraId="158C526F" w14:textId="11DBB33C" w:rsidR="004329A7" w:rsidRPr="0009751C" w:rsidRDefault="004329A7" w:rsidP="005455A9">
            <w:pPr>
              <w:jc w:val="right"/>
              <w:rPr>
                <w:color w:val="000000"/>
                <w:sz w:val="18"/>
                <w:szCs w:val="18"/>
              </w:rPr>
            </w:pPr>
            <w:r w:rsidRPr="0009751C">
              <w:rPr>
                <w:color w:val="000000"/>
                <w:sz w:val="18"/>
                <w:szCs w:val="18"/>
              </w:rPr>
              <w:t>-0.16666</w:t>
            </w:r>
            <w:r w:rsidR="004559A2">
              <w:rPr>
                <w:color w:val="000000"/>
                <w:sz w:val="18"/>
                <w:szCs w:val="18"/>
              </w:rPr>
              <w:t>7</w:t>
            </w:r>
          </w:p>
        </w:tc>
        <w:tc>
          <w:tcPr>
            <w:tcW w:w="422" w:type="dxa"/>
            <w:tcBorders>
              <w:top w:val="nil"/>
              <w:left w:val="nil"/>
              <w:bottom w:val="nil"/>
              <w:right w:val="nil"/>
            </w:tcBorders>
            <w:shd w:val="clear" w:color="auto" w:fill="auto"/>
            <w:noWrap/>
            <w:vAlign w:val="bottom"/>
            <w:hideMark/>
          </w:tcPr>
          <w:p w14:paraId="434334B4" w14:textId="01C33607" w:rsidR="004329A7" w:rsidRPr="0009751C" w:rsidRDefault="004329A7" w:rsidP="005455A9">
            <w:pPr>
              <w:jc w:val="right"/>
              <w:rPr>
                <w:color w:val="000000"/>
                <w:sz w:val="18"/>
                <w:szCs w:val="18"/>
              </w:rPr>
            </w:pPr>
            <w:r w:rsidRPr="0009751C">
              <w:rPr>
                <w:color w:val="000000"/>
                <w:sz w:val="18"/>
                <w:szCs w:val="18"/>
              </w:rPr>
              <w:t>-0.15798</w:t>
            </w:r>
            <w:r w:rsidR="004559A2">
              <w:rPr>
                <w:color w:val="000000"/>
                <w:sz w:val="18"/>
                <w:szCs w:val="18"/>
              </w:rPr>
              <w:t>7</w:t>
            </w:r>
          </w:p>
        </w:tc>
      </w:tr>
      <w:tr w:rsidR="00A85BE5" w:rsidRPr="004329A7" w14:paraId="0723F651" w14:textId="77777777" w:rsidTr="00A85BE5">
        <w:trPr>
          <w:trHeight w:val="320"/>
        </w:trPr>
        <w:tc>
          <w:tcPr>
            <w:tcW w:w="1601" w:type="dxa"/>
            <w:tcBorders>
              <w:top w:val="nil"/>
              <w:left w:val="nil"/>
              <w:bottom w:val="nil"/>
              <w:right w:val="nil"/>
            </w:tcBorders>
            <w:shd w:val="clear" w:color="auto" w:fill="auto"/>
            <w:noWrap/>
            <w:vAlign w:val="bottom"/>
            <w:hideMark/>
          </w:tcPr>
          <w:p w14:paraId="1DB34554" w14:textId="77777777" w:rsidR="004329A7" w:rsidRPr="0009751C" w:rsidRDefault="004329A7" w:rsidP="005455A9">
            <w:pPr>
              <w:rPr>
                <w:color w:val="000000"/>
                <w:sz w:val="18"/>
                <w:szCs w:val="18"/>
              </w:rPr>
            </w:pPr>
            <w:r w:rsidRPr="0009751C">
              <w:rPr>
                <w:color w:val="000000"/>
                <w:sz w:val="18"/>
                <w:szCs w:val="18"/>
              </w:rPr>
              <w:t>DistanceToProject</w:t>
            </w:r>
          </w:p>
        </w:tc>
        <w:tc>
          <w:tcPr>
            <w:tcW w:w="1071" w:type="dxa"/>
            <w:tcBorders>
              <w:top w:val="nil"/>
              <w:left w:val="nil"/>
              <w:bottom w:val="nil"/>
              <w:right w:val="nil"/>
            </w:tcBorders>
            <w:shd w:val="clear" w:color="auto" w:fill="auto"/>
            <w:noWrap/>
            <w:vAlign w:val="bottom"/>
            <w:hideMark/>
          </w:tcPr>
          <w:p w14:paraId="01776B2E" w14:textId="0CE1435C" w:rsidR="004329A7" w:rsidRPr="0009751C" w:rsidRDefault="004329A7" w:rsidP="005455A9">
            <w:pPr>
              <w:jc w:val="right"/>
              <w:rPr>
                <w:color w:val="000000"/>
                <w:sz w:val="18"/>
                <w:szCs w:val="18"/>
              </w:rPr>
            </w:pPr>
            <w:r w:rsidRPr="0009751C">
              <w:rPr>
                <w:color w:val="000000"/>
                <w:sz w:val="18"/>
                <w:szCs w:val="18"/>
              </w:rPr>
              <w:t>-0.054998</w:t>
            </w:r>
          </w:p>
        </w:tc>
        <w:tc>
          <w:tcPr>
            <w:tcW w:w="1071" w:type="dxa"/>
            <w:tcBorders>
              <w:top w:val="nil"/>
              <w:left w:val="nil"/>
              <w:bottom w:val="nil"/>
              <w:right w:val="nil"/>
            </w:tcBorders>
            <w:shd w:val="clear" w:color="auto" w:fill="auto"/>
            <w:noWrap/>
            <w:vAlign w:val="bottom"/>
            <w:hideMark/>
          </w:tcPr>
          <w:p w14:paraId="5D577802" w14:textId="589722A9" w:rsidR="004329A7" w:rsidRPr="0009751C" w:rsidRDefault="004329A7" w:rsidP="005455A9">
            <w:pPr>
              <w:jc w:val="right"/>
              <w:rPr>
                <w:color w:val="000000"/>
                <w:sz w:val="18"/>
                <w:szCs w:val="18"/>
              </w:rPr>
            </w:pPr>
            <w:r w:rsidRPr="0009751C">
              <w:rPr>
                <w:color w:val="000000"/>
                <w:sz w:val="18"/>
                <w:szCs w:val="18"/>
              </w:rPr>
              <w:t>-0.463202</w:t>
            </w:r>
          </w:p>
        </w:tc>
        <w:tc>
          <w:tcPr>
            <w:tcW w:w="1325" w:type="dxa"/>
            <w:tcBorders>
              <w:top w:val="nil"/>
              <w:left w:val="nil"/>
              <w:bottom w:val="nil"/>
              <w:right w:val="nil"/>
            </w:tcBorders>
            <w:shd w:val="clear" w:color="auto" w:fill="auto"/>
            <w:noWrap/>
            <w:vAlign w:val="bottom"/>
            <w:hideMark/>
          </w:tcPr>
          <w:p w14:paraId="7FA3DCAF" w14:textId="0670BD19" w:rsidR="004329A7" w:rsidRPr="0009751C" w:rsidRDefault="004329A7" w:rsidP="005455A9">
            <w:pPr>
              <w:jc w:val="right"/>
              <w:rPr>
                <w:color w:val="000000"/>
                <w:sz w:val="18"/>
                <w:szCs w:val="18"/>
              </w:rPr>
            </w:pPr>
            <w:r w:rsidRPr="0009751C">
              <w:rPr>
                <w:color w:val="000000"/>
                <w:sz w:val="18"/>
                <w:szCs w:val="18"/>
              </w:rPr>
              <w:t>-0.08209</w:t>
            </w:r>
            <w:r w:rsidR="00256A36">
              <w:rPr>
                <w:color w:val="000000"/>
                <w:sz w:val="18"/>
                <w:szCs w:val="18"/>
              </w:rPr>
              <w:t>4</w:t>
            </w:r>
          </w:p>
        </w:tc>
        <w:tc>
          <w:tcPr>
            <w:tcW w:w="1075" w:type="dxa"/>
            <w:tcBorders>
              <w:top w:val="nil"/>
              <w:left w:val="nil"/>
              <w:bottom w:val="nil"/>
              <w:right w:val="nil"/>
            </w:tcBorders>
            <w:shd w:val="clear" w:color="auto" w:fill="auto"/>
            <w:noWrap/>
            <w:vAlign w:val="bottom"/>
            <w:hideMark/>
          </w:tcPr>
          <w:p w14:paraId="4C5629D2" w14:textId="78220CC2" w:rsidR="004329A7" w:rsidRPr="0009751C" w:rsidRDefault="004329A7" w:rsidP="005455A9">
            <w:pPr>
              <w:jc w:val="right"/>
              <w:rPr>
                <w:color w:val="000000"/>
                <w:sz w:val="18"/>
                <w:szCs w:val="18"/>
              </w:rPr>
            </w:pPr>
            <w:r w:rsidRPr="0009751C">
              <w:rPr>
                <w:color w:val="000000"/>
                <w:sz w:val="18"/>
                <w:szCs w:val="18"/>
              </w:rPr>
              <w:t>-0.01269</w:t>
            </w:r>
            <w:r w:rsidR="003327C9">
              <w:rPr>
                <w:color w:val="000000"/>
                <w:sz w:val="18"/>
                <w:szCs w:val="18"/>
              </w:rPr>
              <w:t>2</w:t>
            </w:r>
          </w:p>
        </w:tc>
        <w:tc>
          <w:tcPr>
            <w:tcW w:w="1206" w:type="dxa"/>
            <w:tcBorders>
              <w:top w:val="nil"/>
              <w:left w:val="nil"/>
              <w:bottom w:val="nil"/>
              <w:right w:val="nil"/>
            </w:tcBorders>
            <w:shd w:val="clear" w:color="auto" w:fill="auto"/>
            <w:noWrap/>
            <w:vAlign w:val="bottom"/>
            <w:hideMark/>
          </w:tcPr>
          <w:p w14:paraId="208F4E0F" w14:textId="537ED668" w:rsidR="004329A7" w:rsidRPr="0009751C" w:rsidRDefault="004329A7" w:rsidP="005455A9">
            <w:pPr>
              <w:jc w:val="right"/>
              <w:rPr>
                <w:color w:val="000000"/>
                <w:sz w:val="18"/>
                <w:szCs w:val="18"/>
              </w:rPr>
            </w:pPr>
            <w:r w:rsidRPr="0009751C">
              <w:rPr>
                <w:color w:val="000000"/>
                <w:sz w:val="18"/>
                <w:szCs w:val="18"/>
              </w:rPr>
              <w:t>-0.042196</w:t>
            </w:r>
          </w:p>
        </w:tc>
        <w:tc>
          <w:tcPr>
            <w:tcW w:w="1071" w:type="dxa"/>
            <w:tcBorders>
              <w:top w:val="nil"/>
              <w:left w:val="nil"/>
              <w:bottom w:val="nil"/>
              <w:right w:val="nil"/>
            </w:tcBorders>
            <w:shd w:val="clear" w:color="auto" w:fill="auto"/>
            <w:noWrap/>
            <w:vAlign w:val="bottom"/>
            <w:hideMark/>
          </w:tcPr>
          <w:p w14:paraId="34B25716" w14:textId="03F4AF5F" w:rsidR="004329A7" w:rsidRPr="0009751C" w:rsidRDefault="004329A7" w:rsidP="005455A9">
            <w:pPr>
              <w:jc w:val="right"/>
              <w:rPr>
                <w:color w:val="000000"/>
                <w:sz w:val="18"/>
                <w:szCs w:val="18"/>
              </w:rPr>
            </w:pPr>
            <w:r w:rsidRPr="0009751C">
              <w:rPr>
                <w:color w:val="000000"/>
                <w:sz w:val="18"/>
                <w:szCs w:val="18"/>
              </w:rPr>
              <w:t>-0.0172</w:t>
            </w:r>
            <w:r w:rsidR="00D812C8">
              <w:rPr>
                <w:color w:val="000000"/>
                <w:sz w:val="18"/>
                <w:szCs w:val="18"/>
              </w:rPr>
              <w:t>2</w:t>
            </w:r>
          </w:p>
        </w:tc>
        <w:tc>
          <w:tcPr>
            <w:tcW w:w="1071" w:type="dxa"/>
            <w:tcBorders>
              <w:top w:val="nil"/>
              <w:left w:val="nil"/>
              <w:bottom w:val="nil"/>
              <w:right w:val="nil"/>
            </w:tcBorders>
            <w:shd w:val="clear" w:color="auto" w:fill="auto"/>
            <w:noWrap/>
            <w:vAlign w:val="bottom"/>
            <w:hideMark/>
          </w:tcPr>
          <w:p w14:paraId="38C3C554" w14:textId="3A1AE758" w:rsidR="004329A7" w:rsidRPr="0009751C" w:rsidRDefault="004329A7" w:rsidP="005455A9">
            <w:pPr>
              <w:jc w:val="right"/>
              <w:rPr>
                <w:color w:val="000000"/>
                <w:sz w:val="18"/>
                <w:szCs w:val="18"/>
              </w:rPr>
            </w:pPr>
            <w:r w:rsidRPr="0009751C">
              <w:rPr>
                <w:color w:val="000000"/>
                <w:sz w:val="18"/>
                <w:szCs w:val="18"/>
              </w:rPr>
              <w:t>-0.01996</w:t>
            </w:r>
            <w:r w:rsidR="005A3E8C">
              <w:rPr>
                <w:color w:val="000000"/>
                <w:sz w:val="18"/>
                <w:szCs w:val="18"/>
              </w:rPr>
              <w:t>5</w:t>
            </w:r>
          </w:p>
        </w:tc>
        <w:tc>
          <w:tcPr>
            <w:tcW w:w="1071" w:type="dxa"/>
            <w:tcBorders>
              <w:top w:val="nil"/>
              <w:left w:val="nil"/>
              <w:bottom w:val="nil"/>
              <w:right w:val="nil"/>
            </w:tcBorders>
            <w:shd w:val="clear" w:color="auto" w:fill="auto"/>
            <w:noWrap/>
            <w:vAlign w:val="bottom"/>
            <w:hideMark/>
          </w:tcPr>
          <w:p w14:paraId="4975F54A" w14:textId="7441C0FE" w:rsidR="004329A7" w:rsidRPr="0009751C" w:rsidRDefault="004329A7" w:rsidP="005455A9">
            <w:pPr>
              <w:jc w:val="right"/>
              <w:rPr>
                <w:color w:val="000000"/>
                <w:sz w:val="18"/>
                <w:szCs w:val="18"/>
              </w:rPr>
            </w:pPr>
            <w:r w:rsidRPr="0009751C">
              <w:rPr>
                <w:color w:val="000000"/>
                <w:sz w:val="18"/>
                <w:szCs w:val="18"/>
              </w:rPr>
              <w:t>-0.37851</w:t>
            </w:r>
            <w:r w:rsidR="00AA09F2">
              <w:rPr>
                <w:color w:val="000000"/>
                <w:sz w:val="18"/>
                <w:szCs w:val="18"/>
              </w:rPr>
              <w:t>1</w:t>
            </w:r>
          </w:p>
        </w:tc>
        <w:tc>
          <w:tcPr>
            <w:tcW w:w="1046" w:type="dxa"/>
            <w:tcBorders>
              <w:top w:val="nil"/>
              <w:left w:val="nil"/>
              <w:bottom w:val="nil"/>
              <w:right w:val="nil"/>
            </w:tcBorders>
            <w:shd w:val="clear" w:color="auto" w:fill="auto"/>
            <w:noWrap/>
            <w:vAlign w:val="bottom"/>
            <w:hideMark/>
          </w:tcPr>
          <w:p w14:paraId="4D50068D" w14:textId="77777777" w:rsidR="004329A7" w:rsidRPr="0009751C" w:rsidRDefault="004329A7" w:rsidP="005455A9">
            <w:pPr>
              <w:jc w:val="right"/>
              <w:rPr>
                <w:color w:val="000000"/>
                <w:sz w:val="18"/>
                <w:szCs w:val="18"/>
              </w:rPr>
            </w:pPr>
            <w:r w:rsidRPr="0009751C">
              <w:rPr>
                <w:color w:val="000000"/>
                <w:sz w:val="18"/>
                <w:szCs w:val="18"/>
              </w:rPr>
              <w:t>1</w:t>
            </w:r>
          </w:p>
        </w:tc>
        <w:tc>
          <w:tcPr>
            <w:tcW w:w="1216" w:type="dxa"/>
            <w:tcBorders>
              <w:top w:val="nil"/>
              <w:left w:val="nil"/>
              <w:bottom w:val="nil"/>
              <w:right w:val="nil"/>
            </w:tcBorders>
            <w:shd w:val="clear" w:color="auto" w:fill="auto"/>
            <w:noWrap/>
            <w:vAlign w:val="bottom"/>
            <w:hideMark/>
          </w:tcPr>
          <w:p w14:paraId="121833EE" w14:textId="325EEBCE" w:rsidR="004329A7" w:rsidRPr="0009751C" w:rsidRDefault="004329A7" w:rsidP="005455A9">
            <w:pPr>
              <w:jc w:val="right"/>
              <w:rPr>
                <w:color w:val="000000"/>
                <w:sz w:val="18"/>
                <w:szCs w:val="18"/>
              </w:rPr>
            </w:pPr>
            <w:r w:rsidRPr="0009751C">
              <w:rPr>
                <w:color w:val="000000"/>
                <w:sz w:val="18"/>
                <w:szCs w:val="18"/>
              </w:rPr>
              <w:t>-0.71615</w:t>
            </w:r>
            <w:r w:rsidR="003E228A">
              <w:rPr>
                <w:color w:val="000000"/>
                <w:sz w:val="18"/>
                <w:szCs w:val="18"/>
              </w:rPr>
              <w:t>3</w:t>
            </w:r>
          </w:p>
        </w:tc>
        <w:tc>
          <w:tcPr>
            <w:tcW w:w="1071" w:type="dxa"/>
            <w:tcBorders>
              <w:top w:val="nil"/>
              <w:left w:val="nil"/>
              <w:bottom w:val="nil"/>
              <w:right w:val="nil"/>
            </w:tcBorders>
            <w:shd w:val="clear" w:color="auto" w:fill="auto"/>
            <w:noWrap/>
            <w:vAlign w:val="bottom"/>
            <w:hideMark/>
          </w:tcPr>
          <w:p w14:paraId="458CE9BB" w14:textId="36EDE27B" w:rsidR="004329A7" w:rsidRPr="0009751C" w:rsidRDefault="004329A7" w:rsidP="005455A9">
            <w:pPr>
              <w:jc w:val="right"/>
              <w:rPr>
                <w:color w:val="000000"/>
                <w:sz w:val="18"/>
                <w:szCs w:val="18"/>
              </w:rPr>
            </w:pPr>
            <w:r w:rsidRPr="0009751C">
              <w:rPr>
                <w:color w:val="000000"/>
                <w:sz w:val="18"/>
                <w:szCs w:val="18"/>
              </w:rPr>
              <w:t>-0.27605</w:t>
            </w:r>
            <w:r w:rsidR="004559A2">
              <w:rPr>
                <w:color w:val="000000"/>
                <w:sz w:val="18"/>
                <w:szCs w:val="18"/>
              </w:rPr>
              <w:t>1</w:t>
            </w:r>
          </w:p>
        </w:tc>
        <w:tc>
          <w:tcPr>
            <w:tcW w:w="422" w:type="dxa"/>
            <w:tcBorders>
              <w:top w:val="nil"/>
              <w:left w:val="nil"/>
              <w:bottom w:val="nil"/>
              <w:right w:val="nil"/>
            </w:tcBorders>
            <w:shd w:val="clear" w:color="auto" w:fill="auto"/>
            <w:noWrap/>
            <w:vAlign w:val="bottom"/>
            <w:hideMark/>
          </w:tcPr>
          <w:p w14:paraId="49EF9495" w14:textId="19E203D8" w:rsidR="004329A7" w:rsidRPr="0009751C" w:rsidRDefault="004329A7" w:rsidP="005455A9">
            <w:pPr>
              <w:jc w:val="right"/>
              <w:rPr>
                <w:color w:val="000000"/>
                <w:sz w:val="18"/>
                <w:szCs w:val="18"/>
              </w:rPr>
            </w:pPr>
            <w:r w:rsidRPr="0009751C">
              <w:rPr>
                <w:color w:val="000000"/>
                <w:sz w:val="18"/>
                <w:szCs w:val="18"/>
              </w:rPr>
              <w:t>0.82558</w:t>
            </w:r>
            <w:r w:rsidR="004559A2">
              <w:rPr>
                <w:color w:val="000000"/>
                <w:sz w:val="18"/>
                <w:szCs w:val="18"/>
              </w:rPr>
              <w:t>2</w:t>
            </w:r>
          </w:p>
        </w:tc>
      </w:tr>
      <w:tr w:rsidR="00A85BE5" w:rsidRPr="004329A7" w14:paraId="0E80D082" w14:textId="77777777" w:rsidTr="00A85BE5">
        <w:trPr>
          <w:trHeight w:val="320"/>
        </w:trPr>
        <w:tc>
          <w:tcPr>
            <w:tcW w:w="1601" w:type="dxa"/>
            <w:tcBorders>
              <w:top w:val="nil"/>
              <w:left w:val="nil"/>
              <w:bottom w:val="nil"/>
              <w:right w:val="nil"/>
            </w:tcBorders>
            <w:shd w:val="clear" w:color="auto" w:fill="auto"/>
            <w:noWrap/>
            <w:vAlign w:val="bottom"/>
            <w:hideMark/>
          </w:tcPr>
          <w:p w14:paraId="09AD4145" w14:textId="77777777" w:rsidR="004329A7" w:rsidRPr="0009751C" w:rsidRDefault="004329A7" w:rsidP="005455A9">
            <w:pPr>
              <w:rPr>
                <w:color w:val="000000"/>
                <w:sz w:val="18"/>
                <w:szCs w:val="18"/>
              </w:rPr>
            </w:pPr>
            <w:r w:rsidRPr="0009751C">
              <w:rPr>
                <w:color w:val="000000"/>
                <w:sz w:val="18"/>
                <w:szCs w:val="18"/>
              </w:rPr>
              <w:t>Within400</w:t>
            </w:r>
          </w:p>
        </w:tc>
        <w:tc>
          <w:tcPr>
            <w:tcW w:w="1071" w:type="dxa"/>
            <w:tcBorders>
              <w:top w:val="nil"/>
              <w:left w:val="nil"/>
              <w:bottom w:val="nil"/>
              <w:right w:val="nil"/>
            </w:tcBorders>
            <w:shd w:val="clear" w:color="auto" w:fill="auto"/>
            <w:noWrap/>
            <w:vAlign w:val="bottom"/>
            <w:hideMark/>
          </w:tcPr>
          <w:p w14:paraId="56AD9E40" w14:textId="38E1E728" w:rsidR="004329A7" w:rsidRPr="0009751C" w:rsidRDefault="004329A7" w:rsidP="005455A9">
            <w:pPr>
              <w:jc w:val="right"/>
              <w:rPr>
                <w:color w:val="000000"/>
                <w:sz w:val="18"/>
                <w:szCs w:val="18"/>
              </w:rPr>
            </w:pPr>
            <w:r w:rsidRPr="0009751C">
              <w:rPr>
                <w:color w:val="000000"/>
                <w:sz w:val="18"/>
                <w:szCs w:val="18"/>
              </w:rPr>
              <w:t>-0.034967</w:t>
            </w:r>
          </w:p>
        </w:tc>
        <w:tc>
          <w:tcPr>
            <w:tcW w:w="1071" w:type="dxa"/>
            <w:tcBorders>
              <w:top w:val="nil"/>
              <w:left w:val="nil"/>
              <w:bottom w:val="nil"/>
              <w:right w:val="nil"/>
            </w:tcBorders>
            <w:shd w:val="clear" w:color="auto" w:fill="auto"/>
            <w:noWrap/>
            <w:vAlign w:val="bottom"/>
            <w:hideMark/>
          </w:tcPr>
          <w:p w14:paraId="5D9CE134" w14:textId="245E8167" w:rsidR="004329A7" w:rsidRPr="0009751C" w:rsidRDefault="004329A7" w:rsidP="005455A9">
            <w:pPr>
              <w:jc w:val="right"/>
              <w:rPr>
                <w:color w:val="000000"/>
                <w:sz w:val="18"/>
                <w:szCs w:val="18"/>
              </w:rPr>
            </w:pPr>
            <w:r w:rsidRPr="0009751C">
              <w:rPr>
                <w:color w:val="000000"/>
                <w:sz w:val="18"/>
                <w:szCs w:val="18"/>
              </w:rPr>
              <w:t>0.2275593</w:t>
            </w:r>
          </w:p>
        </w:tc>
        <w:tc>
          <w:tcPr>
            <w:tcW w:w="1325" w:type="dxa"/>
            <w:tcBorders>
              <w:top w:val="nil"/>
              <w:left w:val="nil"/>
              <w:bottom w:val="nil"/>
              <w:right w:val="nil"/>
            </w:tcBorders>
            <w:shd w:val="clear" w:color="auto" w:fill="auto"/>
            <w:noWrap/>
            <w:vAlign w:val="bottom"/>
            <w:hideMark/>
          </w:tcPr>
          <w:p w14:paraId="66786D91" w14:textId="76E3C282" w:rsidR="004329A7" w:rsidRPr="0009751C" w:rsidRDefault="004329A7" w:rsidP="005455A9">
            <w:pPr>
              <w:jc w:val="right"/>
              <w:rPr>
                <w:color w:val="000000"/>
                <w:sz w:val="18"/>
                <w:szCs w:val="18"/>
              </w:rPr>
            </w:pPr>
            <w:r w:rsidRPr="0009751C">
              <w:rPr>
                <w:color w:val="000000"/>
                <w:sz w:val="18"/>
                <w:szCs w:val="18"/>
              </w:rPr>
              <w:t>0.014088</w:t>
            </w:r>
            <w:r w:rsidR="002E5CF7">
              <w:rPr>
                <w:color w:val="000000"/>
                <w:sz w:val="18"/>
                <w:szCs w:val="18"/>
              </w:rPr>
              <w:t>8</w:t>
            </w:r>
          </w:p>
        </w:tc>
        <w:tc>
          <w:tcPr>
            <w:tcW w:w="1075" w:type="dxa"/>
            <w:tcBorders>
              <w:top w:val="nil"/>
              <w:left w:val="nil"/>
              <w:bottom w:val="nil"/>
              <w:right w:val="nil"/>
            </w:tcBorders>
            <w:shd w:val="clear" w:color="auto" w:fill="auto"/>
            <w:noWrap/>
            <w:vAlign w:val="bottom"/>
            <w:hideMark/>
          </w:tcPr>
          <w:p w14:paraId="3510402C" w14:textId="64FAEE48" w:rsidR="004329A7" w:rsidRPr="0009751C" w:rsidRDefault="004329A7" w:rsidP="005455A9">
            <w:pPr>
              <w:jc w:val="right"/>
              <w:rPr>
                <w:color w:val="000000"/>
                <w:sz w:val="18"/>
                <w:szCs w:val="18"/>
              </w:rPr>
            </w:pPr>
            <w:r w:rsidRPr="0009751C">
              <w:rPr>
                <w:color w:val="000000"/>
                <w:sz w:val="18"/>
                <w:szCs w:val="18"/>
              </w:rPr>
              <w:t>-0.065895</w:t>
            </w:r>
          </w:p>
        </w:tc>
        <w:tc>
          <w:tcPr>
            <w:tcW w:w="1206" w:type="dxa"/>
            <w:tcBorders>
              <w:top w:val="nil"/>
              <w:left w:val="nil"/>
              <w:bottom w:val="nil"/>
              <w:right w:val="nil"/>
            </w:tcBorders>
            <w:shd w:val="clear" w:color="auto" w:fill="auto"/>
            <w:noWrap/>
            <w:vAlign w:val="bottom"/>
            <w:hideMark/>
          </w:tcPr>
          <w:p w14:paraId="4B7AB26C" w14:textId="43F42860" w:rsidR="004329A7" w:rsidRPr="0009751C" w:rsidRDefault="004329A7" w:rsidP="005455A9">
            <w:pPr>
              <w:jc w:val="right"/>
              <w:rPr>
                <w:color w:val="000000"/>
                <w:sz w:val="18"/>
                <w:szCs w:val="18"/>
              </w:rPr>
            </w:pPr>
            <w:r w:rsidRPr="0009751C">
              <w:rPr>
                <w:color w:val="000000"/>
                <w:sz w:val="18"/>
                <w:szCs w:val="18"/>
              </w:rPr>
              <w:t>-0.017477</w:t>
            </w:r>
          </w:p>
        </w:tc>
        <w:tc>
          <w:tcPr>
            <w:tcW w:w="1071" w:type="dxa"/>
            <w:tcBorders>
              <w:top w:val="nil"/>
              <w:left w:val="nil"/>
              <w:bottom w:val="nil"/>
              <w:right w:val="nil"/>
            </w:tcBorders>
            <w:shd w:val="clear" w:color="auto" w:fill="auto"/>
            <w:noWrap/>
            <w:vAlign w:val="bottom"/>
            <w:hideMark/>
          </w:tcPr>
          <w:p w14:paraId="3D1BBC4A" w14:textId="5037F5E4" w:rsidR="004329A7" w:rsidRPr="0009751C" w:rsidRDefault="004329A7" w:rsidP="005455A9">
            <w:pPr>
              <w:jc w:val="right"/>
              <w:rPr>
                <w:color w:val="000000"/>
                <w:sz w:val="18"/>
                <w:szCs w:val="18"/>
              </w:rPr>
            </w:pPr>
            <w:r w:rsidRPr="0009751C">
              <w:rPr>
                <w:color w:val="000000"/>
                <w:sz w:val="18"/>
                <w:szCs w:val="18"/>
              </w:rPr>
              <w:t>0.065619</w:t>
            </w:r>
          </w:p>
        </w:tc>
        <w:tc>
          <w:tcPr>
            <w:tcW w:w="1071" w:type="dxa"/>
            <w:tcBorders>
              <w:top w:val="nil"/>
              <w:left w:val="nil"/>
              <w:bottom w:val="nil"/>
              <w:right w:val="nil"/>
            </w:tcBorders>
            <w:shd w:val="clear" w:color="auto" w:fill="auto"/>
            <w:noWrap/>
            <w:vAlign w:val="bottom"/>
            <w:hideMark/>
          </w:tcPr>
          <w:p w14:paraId="6C1341AA" w14:textId="195B4BE8" w:rsidR="004329A7" w:rsidRPr="0009751C" w:rsidRDefault="004329A7" w:rsidP="005455A9">
            <w:pPr>
              <w:jc w:val="right"/>
              <w:rPr>
                <w:color w:val="000000"/>
                <w:sz w:val="18"/>
                <w:szCs w:val="18"/>
              </w:rPr>
            </w:pPr>
            <w:r w:rsidRPr="0009751C">
              <w:rPr>
                <w:color w:val="000000"/>
                <w:sz w:val="18"/>
                <w:szCs w:val="18"/>
              </w:rPr>
              <w:t>0.030662</w:t>
            </w:r>
            <w:r w:rsidR="005A3E8C">
              <w:rPr>
                <w:color w:val="000000"/>
                <w:sz w:val="18"/>
                <w:szCs w:val="18"/>
              </w:rPr>
              <w:t>6</w:t>
            </w:r>
          </w:p>
        </w:tc>
        <w:tc>
          <w:tcPr>
            <w:tcW w:w="1071" w:type="dxa"/>
            <w:tcBorders>
              <w:top w:val="nil"/>
              <w:left w:val="nil"/>
              <w:bottom w:val="nil"/>
              <w:right w:val="nil"/>
            </w:tcBorders>
            <w:shd w:val="clear" w:color="auto" w:fill="auto"/>
            <w:noWrap/>
            <w:vAlign w:val="bottom"/>
            <w:hideMark/>
          </w:tcPr>
          <w:p w14:paraId="39CB0E58" w14:textId="2D05CEE3" w:rsidR="004329A7" w:rsidRPr="0009751C" w:rsidRDefault="004329A7" w:rsidP="005455A9">
            <w:pPr>
              <w:jc w:val="right"/>
              <w:rPr>
                <w:color w:val="000000"/>
                <w:sz w:val="18"/>
                <w:szCs w:val="18"/>
              </w:rPr>
            </w:pPr>
            <w:r w:rsidRPr="0009751C">
              <w:rPr>
                <w:color w:val="000000"/>
                <w:sz w:val="18"/>
                <w:szCs w:val="18"/>
              </w:rPr>
              <w:t>0.4270084</w:t>
            </w:r>
          </w:p>
        </w:tc>
        <w:tc>
          <w:tcPr>
            <w:tcW w:w="1046" w:type="dxa"/>
            <w:tcBorders>
              <w:top w:val="nil"/>
              <w:left w:val="nil"/>
              <w:bottom w:val="nil"/>
              <w:right w:val="nil"/>
            </w:tcBorders>
            <w:shd w:val="clear" w:color="auto" w:fill="auto"/>
            <w:noWrap/>
            <w:vAlign w:val="bottom"/>
            <w:hideMark/>
          </w:tcPr>
          <w:p w14:paraId="3DF21BE9" w14:textId="71409828" w:rsidR="004329A7" w:rsidRPr="0009751C" w:rsidRDefault="004329A7" w:rsidP="005455A9">
            <w:pPr>
              <w:jc w:val="right"/>
              <w:rPr>
                <w:color w:val="000000"/>
                <w:sz w:val="18"/>
                <w:szCs w:val="18"/>
              </w:rPr>
            </w:pPr>
            <w:r w:rsidRPr="0009751C">
              <w:rPr>
                <w:color w:val="000000"/>
                <w:sz w:val="18"/>
                <w:szCs w:val="18"/>
              </w:rPr>
              <w:t>-0.71615</w:t>
            </w:r>
            <w:r w:rsidR="003E228A">
              <w:rPr>
                <w:color w:val="000000"/>
                <w:sz w:val="18"/>
                <w:szCs w:val="18"/>
              </w:rPr>
              <w:t>3</w:t>
            </w:r>
          </w:p>
        </w:tc>
        <w:tc>
          <w:tcPr>
            <w:tcW w:w="1216" w:type="dxa"/>
            <w:tcBorders>
              <w:top w:val="nil"/>
              <w:left w:val="nil"/>
              <w:bottom w:val="nil"/>
              <w:right w:val="nil"/>
            </w:tcBorders>
            <w:shd w:val="clear" w:color="auto" w:fill="auto"/>
            <w:noWrap/>
            <w:vAlign w:val="bottom"/>
            <w:hideMark/>
          </w:tcPr>
          <w:p w14:paraId="0C25A099" w14:textId="77777777" w:rsidR="004329A7" w:rsidRPr="0009751C" w:rsidRDefault="004329A7" w:rsidP="005455A9">
            <w:pPr>
              <w:jc w:val="right"/>
              <w:rPr>
                <w:color w:val="000000"/>
                <w:sz w:val="18"/>
                <w:szCs w:val="18"/>
              </w:rPr>
            </w:pPr>
            <w:r w:rsidRPr="0009751C">
              <w:rPr>
                <w:color w:val="000000"/>
                <w:sz w:val="18"/>
                <w:szCs w:val="18"/>
              </w:rPr>
              <w:t>1</w:t>
            </w:r>
          </w:p>
        </w:tc>
        <w:tc>
          <w:tcPr>
            <w:tcW w:w="1071" w:type="dxa"/>
            <w:tcBorders>
              <w:top w:val="nil"/>
              <w:left w:val="nil"/>
              <w:bottom w:val="nil"/>
              <w:right w:val="nil"/>
            </w:tcBorders>
            <w:shd w:val="clear" w:color="auto" w:fill="auto"/>
            <w:noWrap/>
            <w:vAlign w:val="bottom"/>
            <w:hideMark/>
          </w:tcPr>
          <w:p w14:paraId="1A8ED717" w14:textId="0E2B6026" w:rsidR="004329A7" w:rsidRPr="0009751C" w:rsidRDefault="004329A7" w:rsidP="005455A9">
            <w:pPr>
              <w:jc w:val="right"/>
              <w:rPr>
                <w:color w:val="000000"/>
                <w:sz w:val="18"/>
                <w:szCs w:val="18"/>
              </w:rPr>
            </w:pPr>
            <w:r w:rsidRPr="0009751C">
              <w:rPr>
                <w:color w:val="000000"/>
                <w:sz w:val="18"/>
                <w:szCs w:val="18"/>
              </w:rPr>
              <w:t>-0.390312</w:t>
            </w:r>
          </w:p>
        </w:tc>
        <w:tc>
          <w:tcPr>
            <w:tcW w:w="422" w:type="dxa"/>
            <w:tcBorders>
              <w:top w:val="nil"/>
              <w:left w:val="nil"/>
              <w:bottom w:val="nil"/>
              <w:right w:val="nil"/>
            </w:tcBorders>
            <w:shd w:val="clear" w:color="auto" w:fill="auto"/>
            <w:noWrap/>
            <w:vAlign w:val="bottom"/>
            <w:hideMark/>
          </w:tcPr>
          <w:p w14:paraId="74DE4819" w14:textId="78D7BC3B" w:rsidR="004329A7" w:rsidRPr="0009751C" w:rsidRDefault="004329A7" w:rsidP="005455A9">
            <w:pPr>
              <w:jc w:val="right"/>
              <w:rPr>
                <w:color w:val="000000"/>
                <w:sz w:val="18"/>
                <w:szCs w:val="18"/>
              </w:rPr>
            </w:pPr>
            <w:r w:rsidRPr="0009751C">
              <w:rPr>
                <w:color w:val="000000"/>
                <w:sz w:val="18"/>
                <w:szCs w:val="18"/>
              </w:rPr>
              <w:t>-0.36998</w:t>
            </w:r>
            <w:r w:rsidR="004559A2">
              <w:rPr>
                <w:color w:val="000000"/>
                <w:sz w:val="18"/>
                <w:szCs w:val="18"/>
              </w:rPr>
              <w:t>5</w:t>
            </w:r>
          </w:p>
        </w:tc>
      </w:tr>
      <w:tr w:rsidR="00A85BE5" w:rsidRPr="004329A7" w14:paraId="225953C9" w14:textId="77777777" w:rsidTr="00A85BE5">
        <w:trPr>
          <w:trHeight w:val="320"/>
        </w:trPr>
        <w:tc>
          <w:tcPr>
            <w:tcW w:w="1601" w:type="dxa"/>
            <w:tcBorders>
              <w:top w:val="nil"/>
              <w:left w:val="nil"/>
              <w:bottom w:val="nil"/>
              <w:right w:val="nil"/>
            </w:tcBorders>
            <w:shd w:val="clear" w:color="auto" w:fill="auto"/>
            <w:noWrap/>
            <w:vAlign w:val="bottom"/>
            <w:hideMark/>
          </w:tcPr>
          <w:p w14:paraId="7ECBD494" w14:textId="2E3ABAED" w:rsidR="004329A7" w:rsidRPr="0009751C" w:rsidRDefault="004329A7" w:rsidP="005455A9">
            <w:pPr>
              <w:rPr>
                <w:color w:val="000000"/>
                <w:sz w:val="18"/>
                <w:szCs w:val="18"/>
              </w:rPr>
            </w:pPr>
            <w:r w:rsidRPr="0009751C">
              <w:rPr>
                <w:color w:val="000000"/>
                <w:sz w:val="18"/>
                <w:szCs w:val="18"/>
              </w:rPr>
              <w:t>Between40</w:t>
            </w:r>
            <w:r w:rsidR="000D0B16" w:rsidRPr="0009751C">
              <w:rPr>
                <w:color w:val="000000"/>
                <w:sz w:val="18"/>
                <w:szCs w:val="18"/>
              </w:rPr>
              <w:t>0</w:t>
            </w:r>
            <w:r w:rsidRPr="0009751C">
              <w:rPr>
                <w:color w:val="000000"/>
                <w:sz w:val="18"/>
                <w:szCs w:val="18"/>
              </w:rPr>
              <w:t>-800</w:t>
            </w:r>
          </w:p>
        </w:tc>
        <w:tc>
          <w:tcPr>
            <w:tcW w:w="1071" w:type="dxa"/>
            <w:tcBorders>
              <w:top w:val="nil"/>
              <w:left w:val="nil"/>
              <w:bottom w:val="nil"/>
              <w:right w:val="nil"/>
            </w:tcBorders>
            <w:shd w:val="clear" w:color="auto" w:fill="auto"/>
            <w:noWrap/>
            <w:vAlign w:val="bottom"/>
            <w:hideMark/>
          </w:tcPr>
          <w:p w14:paraId="6CA72B4C" w14:textId="142C0D4E" w:rsidR="004329A7" w:rsidRPr="0009751C" w:rsidRDefault="004329A7" w:rsidP="005455A9">
            <w:pPr>
              <w:jc w:val="right"/>
              <w:rPr>
                <w:color w:val="000000"/>
                <w:sz w:val="18"/>
                <w:szCs w:val="18"/>
              </w:rPr>
            </w:pPr>
            <w:r w:rsidRPr="0009751C">
              <w:rPr>
                <w:color w:val="000000"/>
                <w:sz w:val="18"/>
                <w:szCs w:val="18"/>
              </w:rPr>
              <w:t>0.18272</w:t>
            </w:r>
            <w:r w:rsidR="00F5005C">
              <w:rPr>
                <w:color w:val="000000"/>
                <w:sz w:val="18"/>
                <w:szCs w:val="18"/>
              </w:rPr>
              <w:t>8</w:t>
            </w:r>
          </w:p>
        </w:tc>
        <w:tc>
          <w:tcPr>
            <w:tcW w:w="1071" w:type="dxa"/>
            <w:tcBorders>
              <w:top w:val="nil"/>
              <w:left w:val="nil"/>
              <w:bottom w:val="nil"/>
              <w:right w:val="nil"/>
            </w:tcBorders>
            <w:shd w:val="clear" w:color="auto" w:fill="auto"/>
            <w:noWrap/>
            <w:vAlign w:val="bottom"/>
            <w:hideMark/>
          </w:tcPr>
          <w:p w14:paraId="6434F446" w14:textId="790733E3" w:rsidR="004329A7" w:rsidRPr="0009751C" w:rsidRDefault="004329A7" w:rsidP="005455A9">
            <w:pPr>
              <w:jc w:val="right"/>
              <w:rPr>
                <w:color w:val="000000"/>
                <w:sz w:val="18"/>
                <w:szCs w:val="18"/>
              </w:rPr>
            </w:pPr>
            <w:r w:rsidRPr="0009751C">
              <w:rPr>
                <w:color w:val="000000"/>
                <w:sz w:val="18"/>
                <w:szCs w:val="18"/>
              </w:rPr>
              <w:t>0.2993559</w:t>
            </w:r>
          </w:p>
        </w:tc>
        <w:tc>
          <w:tcPr>
            <w:tcW w:w="1325" w:type="dxa"/>
            <w:tcBorders>
              <w:top w:val="nil"/>
              <w:left w:val="nil"/>
              <w:bottom w:val="nil"/>
              <w:right w:val="nil"/>
            </w:tcBorders>
            <w:shd w:val="clear" w:color="auto" w:fill="auto"/>
            <w:noWrap/>
            <w:vAlign w:val="bottom"/>
            <w:hideMark/>
          </w:tcPr>
          <w:p w14:paraId="5E8C1066" w14:textId="01201DFE" w:rsidR="004329A7" w:rsidRPr="0009751C" w:rsidRDefault="004329A7" w:rsidP="005455A9">
            <w:pPr>
              <w:jc w:val="right"/>
              <w:rPr>
                <w:color w:val="000000"/>
                <w:sz w:val="18"/>
                <w:szCs w:val="18"/>
              </w:rPr>
            </w:pPr>
            <w:r w:rsidRPr="0009751C">
              <w:rPr>
                <w:color w:val="000000"/>
                <w:sz w:val="18"/>
                <w:szCs w:val="18"/>
              </w:rPr>
              <w:t>0.0985</w:t>
            </w:r>
            <w:r w:rsidR="002E5CF7">
              <w:rPr>
                <w:color w:val="000000"/>
                <w:sz w:val="18"/>
                <w:szCs w:val="18"/>
              </w:rPr>
              <w:t>4</w:t>
            </w:r>
          </w:p>
        </w:tc>
        <w:tc>
          <w:tcPr>
            <w:tcW w:w="1075" w:type="dxa"/>
            <w:tcBorders>
              <w:top w:val="nil"/>
              <w:left w:val="nil"/>
              <w:bottom w:val="nil"/>
              <w:right w:val="nil"/>
            </w:tcBorders>
            <w:shd w:val="clear" w:color="auto" w:fill="auto"/>
            <w:noWrap/>
            <w:vAlign w:val="bottom"/>
            <w:hideMark/>
          </w:tcPr>
          <w:p w14:paraId="3E5DF345" w14:textId="6EEBBE93" w:rsidR="004329A7" w:rsidRPr="0009751C" w:rsidRDefault="004329A7" w:rsidP="005455A9">
            <w:pPr>
              <w:jc w:val="right"/>
              <w:rPr>
                <w:color w:val="000000"/>
                <w:sz w:val="18"/>
                <w:szCs w:val="18"/>
              </w:rPr>
            </w:pPr>
            <w:r w:rsidRPr="0009751C">
              <w:rPr>
                <w:color w:val="000000"/>
                <w:sz w:val="18"/>
                <w:szCs w:val="18"/>
              </w:rPr>
              <w:t>0.0916979</w:t>
            </w:r>
          </w:p>
        </w:tc>
        <w:tc>
          <w:tcPr>
            <w:tcW w:w="1206" w:type="dxa"/>
            <w:tcBorders>
              <w:top w:val="nil"/>
              <w:left w:val="nil"/>
              <w:bottom w:val="nil"/>
              <w:right w:val="nil"/>
            </w:tcBorders>
            <w:shd w:val="clear" w:color="auto" w:fill="auto"/>
            <w:noWrap/>
            <w:vAlign w:val="bottom"/>
            <w:hideMark/>
          </w:tcPr>
          <w:p w14:paraId="354A6C38" w14:textId="08BDC77D" w:rsidR="004329A7" w:rsidRPr="0009751C" w:rsidRDefault="004329A7" w:rsidP="005455A9">
            <w:pPr>
              <w:jc w:val="right"/>
              <w:rPr>
                <w:color w:val="000000"/>
                <w:sz w:val="18"/>
                <w:szCs w:val="18"/>
              </w:rPr>
            </w:pPr>
            <w:r w:rsidRPr="0009751C">
              <w:rPr>
                <w:color w:val="000000"/>
                <w:sz w:val="18"/>
                <w:szCs w:val="18"/>
              </w:rPr>
              <w:t>0.0526312</w:t>
            </w:r>
          </w:p>
        </w:tc>
        <w:tc>
          <w:tcPr>
            <w:tcW w:w="1071" w:type="dxa"/>
            <w:tcBorders>
              <w:top w:val="nil"/>
              <w:left w:val="nil"/>
              <w:bottom w:val="nil"/>
              <w:right w:val="nil"/>
            </w:tcBorders>
            <w:shd w:val="clear" w:color="auto" w:fill="auto"/>
            <w:noWrap/>
            <w:vAlign w:val="bottom"/>
            <w:hideMark/>
          </w:tcPr>
          <w:p w14:paraId="03266522" w14:textId="2D0C697F" w:rsidR="004329A7" w:rsidRPr="0009751C" w:rsidRDefault="004329A7" w:rsidP="005455A9">
            <w:pPr>
              <w:jc w:val="right"/>
              <w:rPr>
                <w:color w:val="000000"/>
                <w:sz w:val="18"/>
                <w:szCs w:val="18"/>
              </w:rPr>
            </w:pPr>
            <w:r w:rsidRPr="0009751C">
              <w:rPr>
                <w:color w:val="000000"/>
                <w:sz w:val="18"/>
                <w:szCs w:val="18"/>
              </w:rPr>
              <w:t>-0.11288</w:t>
            </w:r>
          </w:p>
        </w:tc>
        <w:tc>
          <w:tcPr>
            <w:tcW w:w="1071" w:type="dxa"/>
            <w:tcBorders>
              <w:top w:val="nil"/>
              <w:left w:val="nil"/>
              <w:bottom w:val="nil"/>
              <w:right w:val="nil"/>
            </w:tcBorders>
            <w:shd w:val="clear" w:color="auto" w:fill="auto"/>
            <w:noWrap/>
            <w:vAlign w:val="bottom"/>
            <w:hideMark/>
          </w:tcPr>
          <w:p w14:paraId="73027315" w14:textId="5E7BCF1B" w:rsidR="004329A7" w:rsidRPr="0009751C" w:rsidRDefault="004329A7" w:rsidP="005455A9">
            <w:pPr>
              <w:jc w:val="right"/>
              <w:rPr>
                <w:color w:val="000000"/>
                <w:sz w:val="18"/>
                <w:szCs w:val="18"/>
              </w:rPr>
            </w:pPr>
            <w:r w:rsidRPr="0009751C">
              <w:rPr>
                <w:color w:val="000000"/>
                <w:sz w:val="18"/>
                <w:szCs w:val="18"/>
              </w:rPr>
              <w:t>-0.04742</w:t>
            </w:r>
          </w:p>
        </w:tc>
        <w:tc>
          <w:tcPr>
            <w:tcW w:w="1071" w:type="dxa"/>
            <w:tcBorders>
              <w:top w:val="nil"/>
              <w:left w:val="nil"/>
              <w:bottom w:val="nil"/>
              <w:right w:val="nil"/>
            </w:tcBorders>
            <w:shd w:val="clear" w:color="auto" w:fill="auto"/>
            <w:noWrap/>
            <w:vAlign w:val="bottom"/>
            <w:hideMark/>
          </w:tcPr>
          <w:p w14:paraId="4005F381" w14:textId="6C8CA48A" w:rsidR="004329A7" w:rsidRPr="0009751C" w:rsidRDefault="004329A7" w:rsidP="005455A9">
            <w:pPr>
              <w:jc w:val="right"/>
              <w:rPr>
                <w:color w:val="000000"/>
                <w:sz w:val="18"/>
                <w:szCs w:val="18"/>
              </w:rPr>
            </w:pPr>
            <w:r w:rsidRPr="0009751C">
              <w:rPr>
                <w:color w:val="000000"/>
                <w:sz w:val="18"/>
                <w:szCs w:val="18"/>
              </w:rPr>
              <w:t>-0.16666</w:t>
            </w:r>
            <w:r w:rsidR="005A3E8C">
              <w:rPr>
                <w:color w:val="000000"/>
                <w:sz w:val="18"/>
                <w:szCs w:val="18"/>
              </w:rPr>
              <w:t>7</w:t>
            </w:r>
          </w:p>
        </w:tc>
        <w:tc>
          <w:tcPr>
            <w:tcW w:w="1046" w:type="dxa"/>
            <w:tcBorders>
              <w:top w:val="nil"/>
              <w:left w:val="nil"/>
              <w:bottom w:val="nil"/>
              <w:right w:val="nil"/>
            </w:tcBorders>
            <w:shd w:val="clear" w:color="auto" w:fill="auto"/>
            <w:noWrap/>
            <w:vAlign w:val="bottom"/>
            <w:hideMark/>
          </w:tcPr>
          <w:p w14:paraId="3F5B6478" w14:textId="12731E2E" w:rsidR="004329A7" w:rsidRPr="0009751C" w:rsidRDefault="004329A7" w:rsidP="005455A9">
            <w:pPr>
              <w:jc w:val="right"/>
              <w:rPr>
                <w:color w:val="000000"/>
                <w:sz w:val="18"/>
                <w:szCs w:val="18"/>
              </w:rPr>
            </w:pPr>
            <w:r w:rsidRPr="0009751C">
              <w:rPr>
                <w:color w:val="000000"/>
                <w:sz w:val="18"/>
                <w:szCs w:val="18"/>
              </w:rPr>
              <w:t>-0.27605</w:t>
            </w:r>
            <w:r w:rsidR="003E228A">
              <w:rPr>
                <w:color w:val="000000"/>
                <w:sz w:val="18"/>
                <w:szCs w:val="18"/>
              </w:rPr>
              <w:t>1</w:t>
            </w:r>
          </w:p>
        </w:tc>
        <w:tc>
          <w:tcPr>
            <w:tcW w:w="1216" w:type="dxa"/>
            <w:tcBorders>
              <w:top w:val="nil"/>
              <w:left w:val="nil"/>
              <w:bottom w:val="nil"/>
              <w:right w:val="nil"/>
            </w:tcBorders>
            <w:shd w:val="clear" w:color="auto" w:fill="auto"/>
            <w:noWrap/>
            <w:vAlign w:val="bottom"/>
            <w:hideMark/>
          </w:tcPr>
          <w:p w14:paraId="302A29CF" w14:textId="7E890610" w:rsidR="004329A7" w:rsidRPr="0009751C" w:rsidRDefault="004329A7" w:rsidP="005455A9">
            <w:pPr>
              <w:jc w:val="right"/>
              <w:rPr>
                <w:color w:val="000000"/>
                <w:sz w:val="18"/>
                <w:szCs w:val="18"/>
              </w:rPr>
            </w:pPr>
            <w:r w:rsidRPr="0009751C">
              <w:rPr>
                <w:color w:val="000000"/>
                <w:sz w:val="18"/>
                <w:szCs w:val="18"/>
              </w:rPr>
              <w:t>-0.390312</w:t>
            </w:r>
          </w:p>
        </w:tc>
        <w:tc>
          <w:tcPr>
            <w:tcW w:w="1071" w:type="dxa"/>
            <w:tcBorders>
              <w:top w:val="nil"/>
              <w:left w:val="nil"/>
              <w:bottom w:val="nil"/>
              <w:right w:val="nil"/>
            </w:tcBorders>
            <w:shd w:val="clear" w:color="auto" w:fill="auto"/>
            <w:noWrap/>
            <w:vAlign w:val="bottom"/>
            <w:hideMark/>
          </w:tcPr>
          <w:p w14:paraId="5C92B859" w14:textId="77777777" w:rsidR="004329A7" w:rsidRPr="0009751C" w:rsidRDefault="004329A7" w:rsidP="005455A9">
            <w:pPr>
              <w:jc w:val="right"/>
              <w:rPr>
                <w:color w:val="000000"/>
                <w:sz w:val="18"/>
                <w:szCs w:val="18"/>
              </w:rPr>
            </w:pPr>
            <w:r w:rsidRPr="0009751C">
              <w:rPr>
                <w:color w:val="000000"/>
                <w:sz w:val="18"/>
                <w:szCs w:val="18"/>
              </w:rPr>
              <w:t>1</w:t>
            </w:r>
          </w:p>
        </w:tc>
        <w:tc>
          <w:tcPr>
            <w:tcW w:w="422" w:type="dxa"/>
            <w:tcBorders>
              <w:top w:val="nil"/>
              <w:left w:val="nil"/>
              <w:bottom w:val="nil"/>
              <w:right w:val="nil"/>
            </w:tcBorders>
            <w:shd w:val="clear" w:color="auto" w:fill="auto"/>
            <w:noWrap/>
            <w:vAlign w:val="bottom"/>
            <w:hideMark/>
          </w:tcPr>
          <w:p w14:paraId="03B7197C" w14:textId="075D2D75" w:rsidR="004329A7" w:rsidRPr="0009751C" w:rsidRDefault="004329A7" w:rsidP="005455A9">
            <w:pPr>
              <w:jc w:val="right"/>
              <w:rPr>
                <w:color w:val="000000"/>
                <w:sz w:val="18"/>
                <w:szCs w:val="18"/>
              </w:rPr>
            </w:pPr>
            <w:r w:rsidRPr="0009751C">
              <w:rPr>
                <w:color w:val="000000"/>
                <w:sz w:val="18"/>
                <w:szCs w:val="18"/>
              </w:rPr>
              <w:t>-0.710939</w:t>
            </w:r>
          </w:p>
        </w:tc>
      </w:tr>
      <w:tr w:rsidR="00A85BE5" w:rsidRPr="004329A7" w14:paraId="121BCE24" w14:textId="77777777" w:rsidTr="00A85BE5">
        <w:trPr>
          <w:trHeight w:val="320"/>
        </w:trPr>
        <w:tc>
          <w:tcPr>
            <w:tcW w:w="1601" w:type="dxa"/>
            <w:tcBorders>
              <w:top w:val="nil"/>
              <w:left w:val="nil"/>
              <w:bottom w:val="nil"/>
              <w:right w:val="nil"/>
            </w:tcBorders>
            <w:shd w:val="clear" w:color="auto" w:fill="auto"/>
            <w:noWrap/>
            <w:vAlign w:val="bottom"/>
            <w:hideMark/>
          </w:tcPr>
          <w:p w14:paraId="57F0002A" w14:textId="41B03BB1" w:rsidR="004329A7" w:rsidRPr="0009751C" w:rsidRDefault="004329A7" w:rsidP="005455A9">
            <w:pPr>
              <w:rPr>
                <w:color w:val="000000"/>
                <w:sz w:val="18"/>
                <w:szCs w:val="18"/>
              </w:rPr>
            </w:pPr>
            <w:r w:rsidRPr="0009751C">
              <w:rPr>
                <w:color w:val="000000"/>
                <w:sz w:val="18"/>
                <w:szCs w:val="18"/>
              </w:rPr>
              <w:t>Above80</w:t>
            </w:r>
            <w:r w:rsidR="000D0B16" w:rsidRPr="0009751C">
              <w:rPr>
                <w:color w:val="000000"/>
                <w:sz w:val="18"/>
                <w:szCs w:val="18"/>
              </w:rPr>
              <w:t>0</w:t>
            </w:r>
          </w:p>
        </w:tc>
        <w:tc>
          <w:tcPr>
            <w:tcW w:w="1071" w:type="dxa"/>
            <w:tcBorders>
              <w:top w:val="nil"/>
              <w:left w:val="nil"/>
              <w:bottom w:val="nil"/>
              <w:right w:val="nil"/>
            </w:tcBorders>
            <w:shd w:val="clear" w:color="auto" w:fill="auto"/>
            <w:noWrap/>
            <w:vAlign w:val="bottom"/>
            <w:hideMark/>
          </w:tcPr>
          <w:p w14:paraId="2D43234D" w14:textId="77777777" w:rsidR="004329A7" w:rsidRPr="0009751C" w:rsidRDefault="004329A7" w:rsidP="005455A9">
            <w:pPr>
              <w:jc w:val="right"/>
              <w:rPr>
                <w:color w:val="000000"/>
                <w:sz w:val="18"/>
                <w:szCs w:val="18"/>
              </w:rPr>
            </w:pPr>
            <w:r w:rsidRPr="0009751C">
              <w:rPr>
                <w:color w:val="000000"/>
                <w:sz w:val="18"/>
                <w:szCs w:val="18"/>
              </w:rPr>
              <w:t>-0.157677</w:t>
            </w:r>
          </w:p>
        </w:tc>
        <w:tc>
          <w:tcPr>
            <w:tcW w:w="1071" w:type="dxa"/>
            <w:tcBorders>
              <w:top w:val="nil"/>
              <w:left w:val="nil"/>
              <w:bottom w:val="nil"/>
              <w:right w:val="nil"/>
            </w:tcBorders>
            <w:shd w:val="clear" w:color="auto" w:fill="auto"/>
            <w:noWrap/>
            <w:vAlign w:val="bottom"/>
            <w:hideMark/>
          </w:tcPr>
          <w:p w14:paraId="03AE04DD" w14:textId="70E109F0" w:rsidR="004329A7" w:rsidRPr="0009751C" w:rsidRDefault="004329A7" w:rsidP="005455A9">
            <w:pPr>
              <w:jc w:val="right"/>
              <w:rPr>
                <w:color w:val="000000"/>
                <w:sz w:val="18"/>
                <w:szCs w:val="18"/>
              </w:rPr>
            </w:pPr>
            <w:r w:rsidRPr="0009751C">
              <w:rPr>
                <w:color w:val="000000"/>
                <w:sz w:val="18"/>
                <w:szCs w:val="18"/>
              </w:rPr>
              <w:t>-0.475891</w:t>
            </w:r>
          </w:p>
        </w:tc>
        <w:tc>
          <w:tcPr>
            <w:tcW w:w="1325" w:type="dxa"/>
            <w:tcBorders>
              <w:top w:val="nil"/>
              <w:left w:val="nil"/>
              <w:bottom w:val="nil"/>
              <w:right w:val="nil"/>
            </w:tcBorders>
            <w:shd w:val="clear" w:color="auto" w:fill="auto"/>
            <w:noWrap/>
            <w:vAlign w:val="bottom"/>
            <w:hideMark/>
          </w:tcPr>
          <w:p w14:paraId="45FD3520" w14:textId="0EDA89B1" w:rsidR="004329A7" w:rsidRPr="0009751C" w:rsidRDefault="004329A7" w:rsidP="005455A9">
            <w:pPr>
              <w:jc w:val="right"/>
              <w:rPr>
                <w:color w:val="000000"/>
                <w:sz w:val="18"/>
                <w:szCs w:val="18"/>
              </w:rPr>
            </w:pPr>
            <w:r w:rsidRPr="0009751C">
              <w:rPr>
                <w:color w:val="000000"/>
                <w:sz w:val="18"/>
                <w:szCs w:val="18"/>
              </w:rPr>
              <w:t>-0.11019</w:t>
            </w:r>
            <w:r w:rsidR="002E5CF7">
              <w:rPr>
                <w:color w:val="000000"/>
                <w:sz w:val="18"/>
                <w:szCs w:val="18"/>
              </w:rPr>
              <w:t>6</w:t>
            </w:r>
          </w:p>
        </w:tc>
        <w:tc>
          <w:tcPr>
            <w:tcW w:w="1075" w:type="dxa"/>
            <w:tcBorders>
              <w:top w:val="nil"/>
              <w:left w:val="nil"/>
              <w:bottom w:val="nil"/>
              <w:right w:val="nil"/>
            </w:tcBorders>
            <w:shd w:val="clear" w:color="auto" w:fill="auto"/>
            <w:noWrap/>
            <w:vAlign w:val="bottom"/>
            <w:hideMark/>
          </w:tcPr>
          <w:p w14:paraId="1DEBF839" w14:textId="0F45416D" w:rsidR="004329A7" w:rsidRPr="0009751C" w:rsidRDefault="004329A7" w:rsidP="005455A9">
            <w:pPr>
              <w:jc w:val="right"/>
              <w:rPr>
                <w:color w:val="000000"/>
                <w:sz w:val="18"/>
                <w:szCs w:val="18"/>
              </w:rPr>
            </w:pPr>
            <w:r w:rsidRPr="0009751C">
              <w:rPr>
                <w:color w:val="000000"/>
                <w:sz w:val="18"/>
                <w:szCs w:val="18"/>
              </w:rPr>
              <w:t>-0.04219</w:t>
            </w:r>
            <w:r w:rsidR="002E5CF7">
              <w:rPr>
                <w:color w:val="000000"/>
                <w:sz w:val="18"/>
                <w:szCs w:val="18"/>
              </w:rPr>
              <w:t>7</w:t>
            </w:r>
          </w:p>
        </w:tc>
        <w:tc>
          <w:tcPr>
            <w:tcW w:w="1206" w:type="dxa"/>
            <w:tcBorders>
              <w:top w:val="nil"/>
              <w:left w:val="nil"/>
              <w:bottom w:val="nil"/>
              <w:right w:val="nil"/>
            </w:tcBorders>
            <w:shd w:val="clear" w:color="auto" w:fill="auto"/>
            <w:noWrap/>
            <w:vAlign w:val="bottom"/>
            <w:hideMark/>
          </w:tcPr>
          <w:p w14:paraId="009E7642" w14:textId="739ACD5D" w:rsidR="004329A7" w:rsidRPr="0009751C" w:rsidRDefault="004329A7" w:rsidP="005455A9">
            <w:pPr>
              <w:jc w:val="right"/>
              <w:rPr>
                <w:color w:val="000000"/>
                <w:sz w:val="18"/>
                <w:szCs w:val="18"/>
              </w:rPr>
            </w:pPr>
            <w:r w:rsidRPr="0009751C">
              <w:rPr>
                <w:color w:val="000000"/>
                <w:sz w:val="18"/>
                <w:szCs w:val="18"/>
              </w:rPr>
              <w:t>-0.039813</w:t>
            </w:r>
          </w:p>
        </w:tc>
        <w:tc>
          <w:tcPr>
            <w:tcW w:w="1071" w:type="dxa"/>
            <w:tcBorders>
              <w:top w:val="nil"/>
              <w:left w:val="nil"/>
              <w:bottom w:val="nil"/>
              <w:right w:val="nil"/>
            </w:tcBorders>
            <w:shd w:val="clear" w:color="auto" w:fill="auto"/>
            <w:noWrap/>
            <w:vAlign w:val="bottom"/>
            <w:hideMark/>
          </w:tcPr>
          <w:p w14:paraId="5A2B6365" w14:textId="14C56984" w:rsidR="004329A7" w:rsidRPr="0009751C" w:rsidRDefault="004329A7" w:rsidP="005455A9">
            <w:pPr>
              <w:jc w:val="right"/>
              <w:rPr>
                <w:color w:val="000000"/>
                <w:sz w:val="18"/>
                <w:szCs w:val="18"/>
              </w:rPr>
            </w:pPr>
            <w:r w:rsidRPr="0009751C">
              <w:rPr>
                <w:color w:val="000000"/>
                <w:sz w:val="18"/>
                <w:szCs w:val="18"/>
              </w:rPr>
              <w:t>0.063782</w:t>
            </w:r>
          </w:p>
        </w:tc>
        <w:tc>
          <w:tcPr>
            <w:tcW w:w="1071" w:type="dxa"/>
            <w:tcBorders>
              <w:top w:val="nil"/>
              <w:left w:val="nil"/>
              <w:bottom w:val="nil"/>
              <w:right w:val="nil"/>
            </w:tcBorders>
            <w:shd w:val="clear" w:color="auto" w:fill="auto"/>
            <w:noWrap/>
            <w:vAlign w:val="bottom"/>
            <w:hideMark/>
          </w:tcPr>
          <w:p w14:paraId="4D90F3FB" w14:textId="24CDDD48" w:rsidR="004329A7" w:rsidRPr="0009751C" w:rsidRDefault="004329A7" w:rsidP="005455A9">
            <w:pPr>
              <w:jc w:val="right"/>
              <w:rPr>
                <w:color w:val="000000"/>
                <w:sz w:val="18"/>
                <w:szCs w:val="18"/>
              </w:rPr>
            </w:pPr>
            <w:r w:rsidRPr="0009751C">
              <w:rPr>
                <w:color w:val="000000"/>
                <w:sz w:val="18"/>
                <w:szCs w:val="18"/>
              </w:rPr>
              <w:t>0.024432</w:t>
            </w:r>
            <w:r w:rsidR="005A3E8C">
              <w:rPr>
                <w:color w:val="000000"/>
                <w:sz w:val="18"/>
                <w:szCs w:val="18"/>
              </w:rPr>
              <w:t>1</w:t>
            </w:r>
          </w:p>
        </w:tc>
        <w:tc>
          <w:tcPr>
            <w:tcW w:w="1071" w:type="dxa"/>
            <w:tcBorders>
              <w:top w:val="nil"/>
              <w:left w:val="nil"/>
              <w:bottom w:val="nil"/>
              <w:right w:val="nil"/>
            </w:tcBorders>
            <w:shd w:val="clear" w:color="auto" w:fill="auto"/>
            <w:noWrap/>
            <w:vAlign w:val="bottom"/>
            <w:hideMark/>
          </w:tcPr>
          <w:p w14:paraId="4CECC4C4" w14:textId="31509AD2" w:rsidR="004329A7" w:rsidRPr="0009751C" w:rsidRDefault="004329A7" w:rsidP="005455A9">
            <w:pPr>
              <w:jc w:val="right"/>
              <w:rPr>
                <w:color w:val="000000"/>
                <w:sz w:val="18"/>
                <w:szCs w:val="18"/>
              </w:rPr>
            </w:pPr>
            <w:r w:rsidRPr="0009751C">
              <w:rPr>
                <w:color w:val="000000"/>
                <w:sz w:val="18"/>
                <w:szCs w:val="18"/>
              </w:rPr>
              <w:t>-0.15798</w:t>
            </w:r>
            <w:r w:rsidR="005A3E8C">
              <w:rPr>
                <w:color w:val="000000"/>
                <w:sz w:val="18"/>
                <w:szCs w:val="18"/>
              </w:rPr>
              <w:t>7</w:t>
            </w:r>
          </w:p>
        </w:tc>
        <w:tc>
          <w:tcPr>
            <w:tcW w:w="1046" w:type="dxa"/>
            <w:tcBorders>
              <w:top w:val="nil"/>
              <w:left w:val="nil"/>
              <w:bottom w:val="nil"/>
              <w:right w:val="nil"/>
            </w:tcBorders>
            <w:shd w:val="clear" w:color="auto" w:fill="auto"/>
            <w:noWrap/>
            <w:vAlign w:val="bottom"/>
            <w:hideMark/>
          </w:tcPr>
          <w:p w14:paraId="32457237" w14:textId="4DBB460A" w:rsidR="004329A7" w:rsidRPr="0009751C" w:rsidRDefault="004329A7" w:rsidP="005455A9">
            <w:pPr>
              <w:jc w:val="right"/>
              <w:rPr>
                <w:color w:val="000000"/>
                <w:sz w:val="18"/>
                <w:szCs w:val="18"/>
              </w:rPr>
            </w:pPr>
            <w:r w:rsidRPr="0009751C">
              <w:rPr>
                <w:color w:val="000000"/>
                <w:sz w:val="18"/>
                <w:szCs w:val="18"/>
              </w:rPr>
              <w:t>0.82558</w:t>
            </w:r>
            <w:r w:rsidR="003E228A">
              <w:rPr>
                <w:color w:val="000000"/>
                <w:sz w:val="18"/>
                <w:szCs w:val="18"/>
              </w:rPr>
              <w:t>2</w:t>
            </w:r>
          </w:p>
        </w:tc>
        <w:tc>
          <w:tcPr>
            <w:tcW w:w="1216" w:type="dxa"/>
            <w:tcBorders>
              <w:top w:val="nil"/>
              <w:left w:val="nil"/>
              <w:bottom w:val="nil"/>
              <w:right w:val="nil"/>
            </w:tcBorders>
            <w:shd w:val="clear" w:color="auto" w:fill="auto"/>
            <w:noWrap/>
            <w:vAlign w:val="bottom"/>
            <w:hideMark/>
          </w:tcPr>
          <w:p w14:paraId="2D3B67BF" w14:textId="01E61A34" w:rsidR="004329A7" w:rsidRPr="0009751C" w:rsidRDefault="004329A7" w:rsidP="005455A9">
            <w:pPr>
              <w:jc w:val="right"/>
              <w:rPr>
                <w:color w:val="000000"/>
                <w:sz w:val="18"/>
                <w:szCs w:val="18"/>
              </w:rPr>
            </w:pPr>
            <w:r w:rsidRPr="0009751C">
              <w:rPr>
                <w:color w:val="000000"/>
                <w:sz w:val="18"/>
                <w:szCs w:val="18"/>
              </w:rPr>
              <w:t>-0.36998</w:t>
            </w:r>
            <w:r w:rsidR="003E228A">
              <w:rPr>
                <w:color w:val="000000"/>
                <w:sz w:val="18"/>
                <w:szCs w:val="18"/>
              </w:rPr>
              <w:t>5</w:t>
            </w:r>
          </w:p>
        </w:tc>
        <w:tc>
          <w:tcPr>
            <w:tcW w:w="1071" w:type="dxa"/>
            <w:tcBorders>
              <w:top w:val="nil"/>
              <w:left w:val="nil"/>
              <w:bottom w:val="nil"/>
              <w:right w:val="nil"/>
            </w:tcBorders>
            <w:shd w:val="clear" w:color="auto" w:fill="auto"/>
            <w:noWrap/>
            <w:vAlign w:val="bottom"/>
            <w:hideMark/>
          </w:tcPr>
          <w:p w14:paraId="5B07D3F7" w14:textId="6F6844FC" w:rsidR="004329A7" w:rsidRPr="0009751C" w:rsidRDefault="004329A7" w:rsidP="005455A9">
            <w:pPr>
              <w:jc w:val="right"/>
              <w:rPr>
                <w:color w:val="000000"/>
                <w:sz w:val="18"/>
                <w:szCs w:val="18"/>
              </w:rPr>
            </w:pPr>
            <w:r w:rsidRPr="0009751C">
              <w:rPr>
                <w:color w:val="000000"/>
                <w:sz w:val="18"/>
                <w:szCs w:val="18"/>
              </w:rPr>
              <w:t>-0.710939</w:t>
            </w:r>
          </w:p>
        </w:tc>
        <w:tc>
          <w:tcPr>
            <w:tcW w:w="422" w:type="dxa"/>
            <w:tcBorders>
              <w:top w:val="nil"/>
              <w:left w:val="nil"/>
              <w:bottom w:val="nil"/>
              <w:right w:val="nil"/>
            </w:tcBorders>
            <w:shd w:val="clear" w:color="auto" w:fill="auto"/>
            <w:noWrap/>
            <w:vAlign w:val="bottom"/>
            <w:hideMark/>
          </w:tcPr>
          <w:p w14:paraId="565B92CE" w14:textId="77777777" w:rsidR="004329A7" w:rsidRPr="0009751C" w:rsidRDefault="004329A7" w:rsidP="005455A9">
            <w:pPr>
              <w:jc w:val="right"/>
              <w:rPr>
                <w:color w:val="000000"/>
                <w:sz w:val="18"/>
                <w:szCs w:val="18"/>
              </w:rPr>
            </w:pPr>
            <w:r w:rsidRPr="0009751C">
              <w:rPr>
                <w:color w:val="000000"/>
                <w:sz w:val="18"/>
                <w:szCs w:val="18"/>
              </w:rPr>
              <w:t>1</w:t>
            </w:r>
          </w:p>
        </w:tc>
      </w:tr>
    </w:tbl>
    <w:p w14:paraId="00290207" w14:textId="77777777" w:rsidR="0027741A" w:rsidRPr="007F5D57" w:rsidRDefault="0027741A" w:rsidP="00477E6B">
      <w:pPr>
        <w:pStyle w:val="ReferenceList"/>
        <w:rPr>
          <w:sz w:val="20"/>
          <w:szCs w:val="20"/>
        </w:rPr>
      </w:pPr>
    </w:p>
    <w:sectPr w:rsidR="0027741A" w:rsidRPr="007F5D57" w:rsidSect="009D6C0F">
      <w:pgSz w:w="16838" w:h="11906" w:orient="landscape" w:code="9"/>
      <w:pgMar w:top="1134" w:right="1134" w:bottom="1134" w:left="113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2D504" w14:textId="77777777" w:rsidR="005064A0" w:rsidRDefault="005064A0" w:rsidP="008E12A6">
      <w:pPr>
        <w:spacing w:before="0" w:after="0"/>
      </w:pPr>
      <w:r>
        <w:separator/>
      </w:r>
    </w:p>
    <w:p w14:paraId="3872F111" w14:textId="77777777" w:rsidR="005064A0" w:rsidRDefault="005064A0"/>
  </w:endnote>
  <w:endnote w:type="continuationSeparator" w:id="0">
    <w:p w14:paraId="334C70C7" w14:textId="77777777" w:rsidR="005064A0" w:rsidRDefault="005064A0" w:rsidP="008E12A6">
      <w:pPr>
        <w:spacing w:before="0" w:after="0"/>
      </w:pPr>
      <w:r>
        <w:continuationSeparator/>
      </w:r>
    </w:p>
    <w:p w14:paraId="168F46EE" w14:textId="77777777" w:rsidR="005064A0" w:rsidRDefault="005064A0"/>
  </w:endnote>
  <w:endnote w:type="continuationNotice" w:id="1">
    <w:p w14:paraId="62EFEE82" w14:textId="77777777" w:rsidR="005064A0" w:rsidRDefault="005064A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44250" w14:textId="77777777" w:rsidR="007A4D3A" w:rsidRDefault="007A4D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9733C" w14:textId="465E1659" w:rsidR="00AD6CB1" w:rsidRDefault="00AD6CB1" w:rsidP="00972069">
    <w:pPr>
      <w:pStyle w:val="Footer"/>
      <w:pBdr>
        <w:top w:val="single" w:sz="4" w:space="1" w:color="auto"/>
      </w:pBdr>
      <w:tabs>
        <w:tab w:val="clear" w:pos="9026"/>
        <w:tab w:val="right" w:pos="9639"/>
      </w:tabs>
      <w:jc w:val="left"/>
    </w:pPr>
    <w:r>
      <w:t>30</w:t>
    </w:r>
    <w:r w:rsidRPr="00842BAB">
      <w:rPr>
        <w:vertAlign w:val="superscript"/>
      </w:rPr>
      <w:t>TH</w:t>
    </w:r>
    <w:r>
      <w:t xml:space="preserve"> Annual PRRES Conference, </w:t>
    </w:r>
    <w:r w:rsidR="00983D11">
      <w:t>Gold Coast</w:t>
    </w:r>
    <w:r>
      <w:t>, Australia 14</w:t>
    </w:r>
    <w:r w:rsidRPr="005314FD">
      <w:rPr>
        <w:vertAlign w:val="superscript"/>
      </w:rPr>
      <w:t>th</w:t>
    </w:r>
    <w:r>
      <w:t xml:space="preserve"> -17</w:t>
    </w:r>
    <w:r w:rsidRPr="00287F35">
      <w:rPr>
        <w:vertAlign w:val="superscript"/>
      </w:rPr>
      <w:t>th</w:t>
    </w:r>
    <w:r>
      <w:t xml:space="preserve"> </w:t>
    </w:r>
    <w:r>
      <w:rPr>
        <w:vertAlign w:val="superscript"/>
      </w:rPr>
      <w:t xml:space="preserve"> </w:t>
    </w:r>
    <w:r>
      <w:t>January 2024</w:t>
    </w:r>
    <w:r>
      <w:tab/>
    </w:r>
    <w:r>
      <w:fldChar w:fldCharType="begin"/>
    </w:r>
    <w:r>
      <w:instrText xml:space="preserve"> PAGE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27F42" w14:textId="4CD55A34" w:rsidR="007A4D3A" w:rsidRDefault="007A4D3A" w:rsidP="000B16DF">
    <w:pPr>
      <w:pStyle w:val="Footer"/>
      <w:pBdr>
        <w:top w:val="single" w:sz="4" w:space="1" w:color="auto"/>
      </w:pBdr>
      <w:tabs>
        <w:tab w:val="clear" w:pos="9026"/>
        <w:tab w:val="right" w:pos="9639"/>
      </w:tabs>
      <w:jc w:val="left"/>
    </w:pPr>
    <w:r>
      <w:t>30</w:t>
    </w:r>
    <w:r w:rsidRPr="00842BAB">
      <w:rPr>
        <w:vertAlign w:val="superscript"/>
      </w:rPr>
      <w:t>TH</w:t>
    </w:r>
    <w:r>
      <w:t xml:space="preserve"> Annual PRRES Conference, Gold Coast, Australia 14</w:t>
    </w:r>
    <w:r w:rsidRPr="005314FD">
      <w:rPr>
        <w:vertAlign w:val="superscript"/>
      </w:rPr>
      <w:t>th</w:t>
    </w:r>
    <w:r>
      <w:t xml:space="preserve"> -17</w:t>
    </w:r>
    <w:r w:rsidRPr="00287F35">
      <w:rPr>
        <w:vertAlign w:val="superscript"/>
      </w:rPr>
      <w:t>th</w:t>
    </w:r>
    <w:r>
      <w:t xml:space="preserve"> </w:t>
    </w:r>
    <w:r>
      <w:rPr>
        <w:vertAlign w:val="superscript"/>
      </w:rPr>
      <w:t xml:space="preserve"> </w:t>
    </w:r>
    <w:r>
      <w:t>January 2024</w:t>
    </w:r>
    <w:r>
      <w:tab/>
    </w:r>
    <w:r w:rsidR="000B16DF">
      <w:tab/>
    </w:r>
    <w:r w:rsidR="000B16DF">
      <w:tab/>
    </w:r>
    <w:r w:rsidR="000B16DF">
      <w:tab/>
    </w:r>
    <w:r w:rsidR="000B16DF">
      <w:tab/>
    </w:r>
    <w:r w:rsidR="000B16DF">
      <w:tab/>
    </w:r>
    <w:r w:rsidR="000B16DF">
      <w:tab/>
    </w:r>
    <w:r>
      <w:fldChar w:fldCharType="begin"/>
    </w:r>
    <w:r>
      <w:instrText xml:space="preserve"> PAGE   \* MERGEFORMAT </w:instrText>
    </w:r>
    <w:r>
      <w:fldChar w:fldCharType="separate"/>
    </w:r>
    <w:r>
      <w:t>10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7CED0" w14:textId="77777777" w:rsidR="005064A0" w:rsidRDefault="005064A0" w:rsidP="008E12A6">
      <w:pPr>
        <w:spacing w:before="0" w:after="0"/>
      </w:pPr>
      <w:r>
        <w:separator/>
      </w:r>
    </w:p>
    <w:p w14:paraId="1F25BB7C" w14:textId="77777777" w:rsidR="005064A0" w:rsidRDefault="005064A0"/>
  </w:footnote>
  <w:footnote w:type="continuationSeparator" w:id="0">
    <w:p w14:paraId="7135A652" w14:textId="77777777" w:rsidR="005064A0" w:rsidRDefault="005064A0" w:rsidP="008E12A6">
      <w:pPr>
        <w:spacing w:before="0" w:after="0"/>
      </w:pPr>
      <w:r>
        <w:continuationSeparator/>
      </w:r>
    </w:p>
    <w:p w14:paraId="323A863C" w14:textId="77777777" w:rsidR="005064A0" w:rsidRDefault="005064A0"/>
  </w:footnote>
  <w:footnote w:type="continuationNotice" w:id="1">
    <w:p w14:paraId="4D6420F5" w14:textId="77777777" w:rsidR="005064A0" w:rsidRDefault="005064A0">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33ADB" w14:textId="77777777" w:rsidR="007A4D3A" w:rsidRDefault="007A4D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FD888" w14:textId="77777777" w:rsidR="007A4D3A" w:rsidRDefault="007A4D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285D9" w14:textId="35B32867" w:rsidR="00AD6CB1" w:rsidRDefault="00AD6CB1" w:rsidP="00D308B8">
    <w:pPr>
      <w:pStyle w:val="ConferenceDetails"/>
    </w:pPr>
    <w:r>
      <w:t>30</w:t>
    </w:r>
    <w:r w:rsidRPr="00D062C6">
      <w:rPr>
        <w:vertAlign w:val="superscript"/>
      </w:rPr>
      <w:t>TH</w:t>
    </w:r>
    <w:r>
      <w:t xml:space="preserve"> Annual Pacific Rim Real Estate Society Conference</w:t>
    </w:r>
  </w:p>
  <w:p w14:paraId="4CB5B79D" w14:textId="42F4411E" w:rsidR="00AD6CB1" w:rsidRDefault="00AD6CB1" w:rsidP="00D308B8">
    <w:pPr>
      <w:pStyle w:val="ConferenceDetails"/>
    </w:pPr>
    <w:r>
      <w:t>GOLD COAST, AUSTRALIA 14</w:t>
    </w:r>
    <w:r>
      <w:rPr>
        <w:vertAlign w:val="superscript"/>
      </w:rPr>
      <w:t xml:space="preserve">th </w:t>
    </w:r>
    <w:r>
      <w:t xml:space="preserve">– </w:t>
    </w:r>
    <w:r w:rsidRPr="00E26DBC">
      <w:t>17</w:t>
    </w:r>
    <w:r>
      <w:rPr>
        <w:vertAlign w:val="superscript"/>
      </w:rPr>
      <w:t xml:space="preserve">th  </w:t>
    </w:r>
    <w:r>
      <w:t>January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D50329"/>
    <w:multiLevelType w:val="hybridMultilevel"/>
    <w:tmpl w:val="D35AB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9515A03"/>
    <w:multiLevelType w:val="hybridMultilevel"/>
    <w:tmpl w:val="D8164286"/>
    <w:lvl w:ilvl="0" w:tplc="EA10F26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4224292">
    <w:abstractNumId w:val="0"/>
  </w:num>
  <w:num w:numId="2" w16cid:durableId="6158733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B73"/>
    <w:rsid w:val="00011E3D"/>
    <w:rsid w:val="00014FA3"/>
    <w:rsid w:val="00016AA8"/>
    <w:rsid w:val="00037597"/>
    <w:rsid w:val="0005361A"/>
    <w:rsid w:val="000563C3"/>
    <w:rsid w:val="00061E91"/>
    <w:rsid w:val="00095ECF"/>
    <w:rsid w:val="0009751C"/>
    <w:rsid w:val="00097B95"/>
    <w:rsid w:val="000A7D20"/>
    <w:rsid w:val="000B16DF"/>
    <w:rsid w:val="000C2E59"/>
    <w:rsid w:val="000D0B16"/>
    <w:rsid w:val="000E4D51"/>
    <w:rsid w:val="000E5A90"/>
    <w:rsid w:val="000F1D5D"/>
    <w:rsid w:val="001259DE"/>
    <w:rsid w:val="0013417F"/>
    <w:rsid w:val="00146859"/>
    <w:rsid w:val="001652A4"/>
    <w:rsid w:val="001A0ED1"/>
    <w:rsid w:val="001D6133"/>
    <w:rsid w:val="001F37FF"/>
    <w:rsid w:val="00203885"/>
    <w:rsid w:val="00211575"/>
    <w:rsid w:val="0022215E"/>
    <w:rsid w:val="002300EB"/>
    <w:rsid w:val="00236DD5"/>
    <w:rsid w:val="00250937"/>
    <w:rsid w:val="00256A36"/>
    <w:rsid w:val="00264348"/>
    <w:rsid w:val="00273DA8"/>
    <w:rsid w:val="0027741A"/>
    <w:rsid w:val="00287F35"/>
    <w:rsid w:val="00292CDB"/>
    <w:rsid w:val="0029606C"/>
    <w:rsid w:val="002A3C7F"/>
    <w:rsid w:val="002A4F45"/>
    <w:rsid w:val="002B3D8E"/>
    <w:rsid w:val="002B3E19"/>
    <w:rsid w:val="002D54DF"/>
    <w:rsid w:val="002E5CF7"/>
    <w:rsid w:val="00304A55"/>
    <w:rsid w:val="00306BD9"/>
    <w:rsid w:val="00320568"/>
    <w:rsid w:val="003327C9"/>
    <w:rsid w:val="00353AA3"/>
    <w:rsid w:val="003605E1"/>
    <w:rsid w:val="003626BA"/>
    <w:rsid w:val="00362B11"/>
    <w:rsid w:val="003639D8"/>
    <w:rsid w:val="00371B97"/>
    <w:rsid w:val="00397E45"/>
    <w:rsid w:val="003B2B3A"/>
    <w:rsid w:val="003B5DCE"/>
    <w:rsid w:val="003C20BE"/>
    <w:rsid w:val="003D7A26"/>
    <w:rsid w:val="003E228A"/>
    <w:rsid w:val="003E3CA8"/>
    <w:rsid w:val="00400EBB"/>
    <w:rsid w:val="00401A4B"/>
    <w:rsid w:val="0040353A"/>
    <w:rsid w:val="00405D19"/>
    <w:rsid w:val="00414CC4"/>
    <w:rsid w:val="0041540D"/>
    <w:rsid w:val="004209B6"/>
    <w:rsid w:val="0042168F"/>
    <w:rsid w:val="004262C9"/>
    <w:rsid w:val="00427023"/>
    <w:rsid w:val="004329A7"/>
    <w:rsid w:val="004559A2"/>
    <w:rsid w:val="0046110D"/>
    <w:rsid w:val="004618EE"/>
    <w:rsid w:val="004662FC"/>
    <w:rsid w:val="004678F2"/>
    <w:rsid w:val="00477E6B"/>
    <w:rsid w:val="00480AC7"/>
    <w:rsid w:val="004842CC"/>
    <w:rsid w:val="00484906"/>
    <w:rsid w:val="00496E7D"/>
    <w:rsid w:val="00496F0D"/>
    <w:rsid w:val="004A44EC"/>
    <w:rsid w:val="004B7C95"/>
    <w:rsid w:val="004C7078"/>
    <w:rsid w:val="004E0CF2"/>
    <w:rsid w:val="004E3F3B"/>
    <w:rsid w:val="004F62DC"/>
    <w:rsid w:val="005064A0"/>
    <w:rsid w:val="00513B08"/>
    <w:rsid w:val="00515FDD"/>
    <w:rsid w:val="005255E7"/>
    <w:rsid w:val="00527F14"/>
    <w:rsid w:val="005314FD"/>
    <w:rsid w:val="00584948"/>
    <w:rsid w:val="00591599"/>
    <w:rsid w:val="005951C0"/>
    <w:rsid w:val="005A3D07"/>
    <w:rsid w:val="005A3E8C"/>
    <w:rsid w:val="005C5C7C"/>
    <w:rsid w:val="005C69DB"/>
    <w:rsid w:val="005E0FDE"/>
    <w:rsid w:val="005E509D"/>
    <w:rsid w:val="005F3444"/>
    <w:rsid w:val="00600283"/>
    <w:rsid w:val="00600BC8"/>
    <w:rsid w:val="00605B86"/>
    <w:rsid w:val="00607F6A"/>
    <w:rsid w:val="00614618"/>
    <w:rsid w:val="00626415"/>
    <w:rsid w:val="00626858"/>
    <w:rsid w:val="00634572"/>
    <w:rsid w:val="0064752C"/>
    <w:rsid w:val="00655A83"/>
    <w:rsid w:val="006670B2"/>
    <w:rsid w:val="006701F1"/>
    <w:rsid w:val="006A60A6"/>
    <w:rsid w:val="006C11AC"/>
    <w:rsid w:val="006C3BD2"/>
    <w:rsid w:val="006C5133"/>
    <w:rsid w:val="006C65CE"/>
    <w:rsid w:val="006D11FE"/>
    <w:rsid w:val="00723C9B"/>
    <w:rsid w:val="007311EE"/>
    <w:rsid w:val="0074692C"/>
    <w:rsid w:val="0075724D"/>
    <w:rsid w:val="0076158B"/>
    <w:rsid w:val="00765662"/>
    <w:rsid w:val="00773D02"/>
    <w:rsid w:val="007975B6"/>
    <w:rsid w:val="007A4D3A"/>
    <w:rsid w:val="007B03ED"/>
    <w:rsid w:val="007B0EAC"/>
    <w:rsid w:val="007B483E"/>
    <w:rsid w:val="007D7582"/>
    <w:rsid w:val="007E3C7D"/>
    <w:rsid w:val="007E6DFA"/>
    <w:rsid w:val="007F5D57"/>
    <w:rsid w:val="0081477D"/>
    <w:rsid w:val="008302C4"/>
    <w:rsid w:val="00842BAB"/>
    <w:rsid w:val="00855AF8"/>
    <w:rsid w:val="008771E3"/>
    <w:rsid w:val="00891010"/>
    <w:rsid w:val="00891BDE"/>
    <w:rsid w:val="008B7424"/>
    <w:rsid w:val="008E12A6"/>
    <w:rsid w:val="008E54AC"/>
    <w:rsid w:val="008E7F70"/>
    <w:rsid w:val="008F5927"/>
    <w:rsid w:val="009054FE"/>
    <w:rsid w:val="00907C71"/>
    <w:rsid w:val="00941A96"/>
    <w:rsid w:val="0094372D"/>
    <w:rsid w:val="00954EC3"/>
    <w:rsid w:val="0095622F"/>
    <w:rsid w:val="00972069"/>
    <w:rsid w:val="00983D11"/>
    <w:rsid w:val="00987C29"/>
    <w:rsid w:val="009B0054"/>
    <w:rsid w:val="009C0F28"/>
    <w:rsid w:val="009C5B20"/>
    <w:rsid w:val="009D33B7"/>
    <w:rsid w:val="009D6C0F"/>
    <w:rsid w:val="009E1DB2"/>
    <w:rsid w:val="009E2BCD"/>
    <w:rsid w:val="009E4463"/>
    <w:rsid w:val="009E7C57"/>
    <w:rsid w:val="009F1337"/>
    <w:rsid w:val="00A033F6"/>
    <w:rsid w:val="00A079E2"/>
    <w:rsid w:val="00A25AEE"/>
    <w:rsid w:val="00A426A0"/>
    <w:rsid w:val="00A5066B"/>
    <w:rsid w:val="00A72F88"/>
    <w:rsid w:val="00A731F7"/>
    <w:rsid w:val="00A850E1"/>
    <w:rsid w:val="00A85BE5"/>
    <w:rsid w:val="00A90745"/>
    <w:rsid w:val="00A978CC"/>
    <w:rsid w:val="00AA09F2"/>
    <w:rsid w:val="00AB2AEA"/>
    <w:rsid w:val="00AB61CC"/>
    <w:rsid w:val="00AC3B77"/>
    <w:rsid w:val="00AD6CB1"/>
    <w:rsid w:val="00AE331E"/>
    <w:rsid w:val="00AE5E00"/>
    <w:rsid w:val="00AE6023"/>
    <w:rsid w:val="00AF4F12"/>
    <w:rsid w:val="00AF7CE2"/>
    <w:rsid w:val="00B231D9"/>
    <w:rsid w:val="00B33D56"/>
    <w:rsid w:val="00B33D9D"/>
    <w:rsid w:val="00B375D0"/>
    <w:rsid w:val="00B53205"/>
    <w:rsid w:val="00B55EAD"/>
    <w:rsid w:val="00B81B89"/>
    <w:rsid w:val="00BA473B"/>
    <w:rsid w:val="00BA7A15"/>
    <w:rsid w:val="00BB1441"/>
    <w:rsid w:val="00BB1B73"/>
    <w:rsid w:val="00BB4F0F"/>
    <w:rsid w:val="00BC0E14"/>
    <w:rsid w:val="00BD73ED"/>
    <w:rsid w:val="00BE315A"/>
    <w:rsid w:val="00BE69B4"/>
    <w:rsid w:val="00BF6FA1"/>
    <w:rsid w:val="00C03F94"/>
    <w:rsid w:val="00C259E4"/>
    <w:rsid w:val="00C407E9"/>
    <w:rsid w:val="00C5279D"/>
    <w:rsid w:val="00C65679"/>
    <w:rsid w:val="00C73E11"/>
    <w:rsid w:val="00C82CC2"/>
    <w:rsid w:val="00C83132"/>
    <w:rsid w:val="00CB132F"/>
    <w:rsid w:val="00CC3C9A"/>
    <w:rsid w:val="00CD1431"/>
    <w:rsid w:val="00CD3F5A"/>
    <w:rsid w:val="00CF0BDC"/>
    <w:rsid w:val="00D062C6"/>
    <w:rsid w:val="00D1660A"/>
    <w:rsid w:val="00D1720B"/>
    <w:rsid w:val="00D308B8"/>
    <w:rsid w:val="00D66669"/>
    <w:rsid w:val="00D67A67"/>
    <w:rsid w:val="00D812C8"/>
    <w:rsid w:val="00D9079A"/>
    <w:rsid w:val="00D92FA4"/>
    <w:rsid w:val="00D9536E"/>
    <w:rsid w:val="00DB0C6D"/>
    <w:rsid w:val="00DB7F1C"/>
    <w:rsid w:val="00DC2754"/>
    <w:rsid w:val="00E04946"/>
    <w:rsid w:val="00E26DBC"/>
    <w:rsid w:val="00E53B58"/>
    <w:rsid w:val="00E545DC"/>
    <w:rsid w:val="00E63498"/>
    <w:rsid w:val="00E63776"/>
    <w:rsid w:val="00E6554D"/>
    <w:rsid w:val="00E87E05"/>
    <w:rsid w:val="00E9027A"/>
    <w:rsid w:val="00EB31E8"/>
    <w:rsid w:val="00ED1D42"/>
    <w:rsid w:val="00EE4E8B"/>
    <w:rsid w:val="00EE50F4"/>
    <w:rsid w:val="00EE5E94"/>
    <w:rsid w:val="00F052AD"/>
    <w:rsid w:val="00F070E8"/>
    <w:rsid w:val="00F463FD"/>
    <w:rsid w:val="00F4726B"/>
    <w:rsid w:val="00F5005C"/>
    <w:rsid w:val="00F746A4"/>
    <w:rsid w:val="00F809C7"/>
    <w:rsid w:val="00F974D6"/>
    <w:rsid w:val="00FA3846"/>
    <w:rsid w:val="00FC7D6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692905D"/>
  <w15:docId w15:val="{87AF69F5-EAD9-4C98-8B65-0CA2B2DB2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lsdException w:name="Colorful Grid" w:uiPriority="29"/>
    <w:lsdException w:name="Light Shading Accent 1" w:uiPriority="30"/>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lsdException w:name="Medium List 2 Accent 6" w:uiPriority="21"/>
    <w:lsdException w:name="Medium Grid 1 Accent 6" w:uiPriority="31"/>
    <w:lsdException w:name="Medium Grid 2 Accent 6" w:uiPriority="32"/>
    <w:lsdException w:name="Medium Grid 3 Accent 6" w:uiPriority="33"/>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361A"/>
    <w:pPr>
      <w:spacing w:before="120" w:after="120"/>
      <w:jc w:val="both"/>
    </w:pPr>
    <w:rPr>
      <w:sz w:val="22"/>
      <w:szCs w:val="24"/>
    </w:rPr>
  </w:style>
  <w:style w:type="paragraph" w:styleId="Heading1">
    <w:name w:val="heading 1"/>
    <w:basedOn w:val="Normal"/>
    <w:next w:val="Normal"/>
    <w:link w:val="Heading1Char"/>
    <w:qFormat/>
    <w:rsid w:val="00FC7D67"/>
    <w:pPr>
      <w:keepNext/>
      <w:jc w:val="left"/>
      <w:outlineLvl w:val="0"/>
    </w:pPr>
    <w:rPr>
      <w:b/>
      <w:bCs/>
      <w:caps/>
      <w:kern w:val="32"/>
      <w:sz w:val="24"/>
      <w:szCs w:val="32"/>
    </w:rPr>
  </w:style>
  <w:style w:type="paragraph" w:styleId="Heading2">
    <w:name w:val="heading 2"/>
    <w:basedOn w:val="Normal"/>
    <w:next w:val="Normal"/>
    <w:link w:val="Heading2Char"/>
    <w:qFormat/>
    <w:rsid w:val="00FC7D67"/>
    <w:pPr>
      <w:keepNext/>
      <w:spacing w:before="240" w:after="60"/>
      <w:outlineLvl w:val="1"/>
    </w:pPr>
    <w:rPr>
      <w:b/>
      <w:bCs/>
      <w:iCs/>
      <w:sz w:val="24"/>
      <w:szCs w:val="28"/>
    </w:rPr>
  </w:style>
  <w:style w:type="paragraph" w:styleId="Heading3">
    <w:name w:val="heading 3"/>
    <w:basedOn w:val="Normal"/>
    <w:next w:val="Normal"/>
    <w:link w:val="Heading3Char"/>
    <w:qFormat/>
    <w:rsid w:val="00FC7D67"/>
    <w:pPr>
      <w:keepNext/>
      <w:spacing w:before="240" w:after="60"/>
      <w:outlineLvl w:val="2"/>
    </w:pPr>
    <w:rPr>
      <w:b/>
      <w:bCs/>
      <w:szCs w:val="26"/>
    </w:rPr>
  </w:style>
  <w:style w:type="paragraph" w:styleId="Heading4">
    <w:name w:val="heading 4"/>
    <w:basedOn w:val="Normal"/>
    <w:next w:val="Normal"/>
    <w:link w:val="Heading4Char"/>
    <w:qFormat/>
    <w:rsid w:val="00FC7D67"/>
    <w:pPr>
      <w:keepNext/>
      <w:spacing w:before="240" w:after="60"/>
      <w:outlineLvl w:val="3"/>
    </w:pPr>
    <w:rPr>
      <w:b/>
      <w:bCs/>
      <w:sz w:val="2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C7D67"/>
    <w:rPr>
      <w:b/>
      <w:bCs/>
      <w:caps/>
      <w:kern w:val="32"/>
      <w:sz w:val="24"/>
      <w:szCs w:val="32"/>
    </w:rPr>
  </w:style>
  <w:style w:type="paragraph" w:styleId="Title">
    <w:name w:val="Title"/>
    <w:basedOn w:val="Normal"/>
    <w:next w:val="Normal"/>
    <w:link w:val="TitleChar"/>
    <w:qFormat/>
    <w:rsid w:val="002D54DF"/>
    <w:pPr>
      <w:spacing w:before="240" w:after="240"/>
      <w:jc w:val="center"/>
      <w:outlineLvl w:val="0"/>
    </w:pPr>
    <w:rPr>
      <w:b/>
      <w:bCs/>
      <w:caps/>
      <w:kern w:val="28"/>
      <w:sz w:val="28"/>
      <w:szCs w:val="32"/>
    </w:rPr>
  </w:style>
  <w:style w:type="character" w:customStyle="1" w:styleId="TitleChar">
    <w:name w:val="Title Char"/>
    <w:link w:val="Title"/>
    <w:rsid w:val="002D54DF"/>
    <w:rPr>
      <w:rFonts w:eastAsia="Times New Roman" w:cs="Times New Roman"/>
      <w:b/>
      <w:bCs/>
      <w:caps/>
      <w:kern w:val="28"/>
      <w:sz w:val="28"/>
      <w:szCs w:val="32"/>
    </w:rPr>
  </w:style>
  <w:style w:type="paragraph" w:customStyle="1" w:styleId="ConferenceDetails">
    <w:name w:val="Conference Details"/>
    <w:basedOn w:val="Normal"/>
    <w:qFormat/>
    <w:rsid w:val="008E12A6"/>
    <w:pPr>
      <w:jc w:val="center"/>
    </w:pPr>
    <w:rPr>
      <w:b/>
      <w:smallCaps/>
    </w:rPr>
  </w:style>
  <w:style w:type="paragraph" w:customStyle="1" w:styleId="Authors">
    <w:name w:val="Author/s"/>
    <w:basedOn w:val="Heading1"/>
    <w:qFormat/>
    <w:rsid w:val="008E12A6"/>
    <w:pPr>
      <w:jc w:val="center"/>
    </w:pPr>
    <w:rPr>
      <w:caps w:val="0"/>
    </w:rPr>
  </w:style>
  <w:style w:type="paragraph" w:customStyle="1" w:styleId="Abstract">
    <w:name w:val="Abstract"/>
    <w:basedOn w:val="Normal"/>
    <w:qFormat/>
    <w:rsid w:val="008E12A6"/>
    <w:rPr>
      <w:i/>
    </w:rPr>
  </w:style>
  <w:style w:type="character" w:customStyle="1" w:styleId="Heading3Char">
    <w:name w:val="Heading 3 Char"/>
    <w:link w:val="Heading3"/>
    <w:rsid w:val="00FC7D67"/>
    <w:rPr>
      <w:rFonts w:eastAsia="Times New Roman" w:cs="Times New Roman"/>
      <w:b/>
      <w:bCs/>
      <w:sz w:val="22"/>
      <w:szCs w:val="26"/>
    </w:rPr>
  </w:style>
  <w:style w:type="character" w:customStyle="1" w:styleId="Heading2Char">
    <w:name w:val="Heading 2 Char"/>
    <w:link w:val="Heading2"/>
    <w:rsid w:val="00FC7D67"/>
    <w:rPr>
      <w:rFonts w:eastAsia="Times New Roman" w:cs="Times New Roman"/>
      <w:b/>
      <w:bCs/>
      <w:iCs/>
      <w:sz w:val="24"/>
      <w:szCs w:val="28"/>
    </w:rPr>
  </w:style>
  <w:style w:type="character" w:customStyle="1" w:styleId="Heading4Char">
    <w:name w:val="Heading 4 Char"/>
    <w:link w:val="Heading4"/>
    <w:rsid w:val="00FC7D67"/>
    <w:rPr>
      <w:rFonts w:eastAsia="Times New Roman" w:cs="Times New Roman"/>
      <w:b/>
      <w:bCs/>
      <w:szCs w:val="28"/>
    </w:rPr>
  </w:style>
  <w:style w:type="paragraph" w:styleId="Caption">
    <w:name w:val="caption"/>
    <w:basedOn w:val="Normal"/>
    <w:next w:val="Normal"/>
    <w:unhideWhenUsed/>
    <w:qFormat/>
    <w:rsid w:val="00DB0C6D"/>
    <w:rPr>
      <w:b/>
      <w:bCs/>
      <w:sz w:val="24"/>
      <w:szCs w:val="20"/>
    </w:rPr>
  </w:style>
  <w:style w:type="paragraph" w:styleId="Header">
    <w:name w:val="header"/>
    <w:basedOn w:val="Normal"/>
    <w:link w:val="HeaderChar"/>
    <w:rsid w:val="00D308B8"/>
    <w:pPr>
      <w:tabs>
        <w:tab w:val="center" w:pos="4513"/>
        <w:tab w:val="right" w:pos="9026"/>
      </w:tabs>
    </w:pPr>
    <w:rPr>
      <w:sz w:val="20"/>
    </w:rPr>
  </w:style>
  <w:style w:type="character" w:customStyle="1" w:styleId="HeaderChar">
    <w:name w:val="Header Char"/>
    <w:link w:val="Header"/>
    <w:rsid w:val="00D308B8"/>
    <w:rPr>
      <w:szCs w:val="24"/>
    </w:rPr>
  </w:style>
  <w:style w:type="paragraph" w:styleId="Footer">
    <w:name w:val="footer"/>
    <w:basedOn w:val="Normal"/>
    <w:link w:val="FooterChar"/>
    <w:uiPriority w:val="99"/>
    <w:rsid w:val="00D308B8"/>
    <w:pPr>
      <w:tabs>
        <w:tab w:val="center" w:pos="4513"/>
        <w:tab w:val="right" w:pos="9026"/>
      </w:tabs>
    </w:pPr>
    <w:rPr>
      <w:sz w:val="20"/>
    </w:rPr>
  </w:style>
  <w:style w:type="character" w:customStyle="1" w:styleId="FooterChar">
    <w:name w:val="Footer Char"/>
    <w:link w:val="Footer"/>
    <w:uiPriority w:val="99"/>
    <w:rsid w:val="00D308B8"/>
    <w:rPr>
      <w:szCs w:val="24"/>
    </w:rPr>
  </w:style>
  <w:style w:type="paragraph" w:styleId="FootnoteText">
    <w:name w:val="footnote text"/>
    <w:basedOn w:val="Normal"/>
    <w:link w:val="FootnoteTextChar"/>
    <w:rsid w:val="00ED1D42"/>
    <w:rPr>
      <w:szCs w:val="20"/>
    </w:rPr>
  </w:style>
  <w:style w:type="character" w:customStyle="1" w:styleId="FootnoteTextChar">
    <w:name w:val="Footnote Text Char"/>
    <w:basedOn w:val="DefaultParagraphFont"/>
    <w:link w:val="FootnoteText"/>
    <w:rsid w:val="00ED1D42"/>
  </w:style>
  <w:style w:type="character" w:styleId="FootnoteReference">
    <w:name w:val="footnote reference"/>
    <w:rsid w:val="00ED1D42"/>
    <w:rPr>
      <w:vertAlign w:val="superscript"/>
    </w:rPr>
  </w:style>
  <w:style w:type="paragraph" w:customStyle="1" w:styleId="EmailContact">
    <w:name w:val="Email Contact"/>
    <w:basedOn w:val="Normal"/>
    <w:qFormat/>
    <w:rsid w:val="007D7582"/>
    <w:pPr>
      <w:spacing w:before="360" w:after="0"/>
      <w:jc w:val="left"/>
    </w:pPr>
    <w:rPr>
      <w:b/>
    </w:rPr>
  </w:style>
  <w:style w:type="paragraph" w:customStyle="1" w:styleId="ReferenceList">
    <w:name w:val="Reference List"/>
    <w:basedOn w:val="Normal"/>
    <w:qFormat/>
    <w:rsid w:val="00E87E05"/>
    <w:pPr>
      <w:spacing w:before="240" w:after="240"/>
    </w:pPr>
  </w:style>
  <w:style w:type="paragraph" w:styleId="BalloonText">
    <w:name w:val="Balloon Text"/>
    <w:basedOn w:val="Normal"/>
    <w:link w:val="BalloonTextChar"/>
    <w:rsid w:val="007975B6"/>
    <w:pPr>
      <w:spacing w:before="0" w:after="0"/>
    </w:pPr>
    <w:rPr>
      <w:rFonts w:ascii="Segoe UI" w:hAnsi="Segoe UI"/>
      <w:sz w:val="18"/>
      <w:szCs w:val="18"/>
    </w:rPr>
  </w:style>
  <w:style w:type="character" w:customStyle="1" w:styleId="BalloonTextChar">
    <w:name w:val="Balloon Text Char"/>
    <w:link w:val="BalloonText"/>
    <w:rsid w:val="007975B6"/>
    <w:rPr>
      <w:rFonts w:ascii="Segoe UI" w:hAnsi="Segoe UI" w:cs="Segoe UI"/>
      <w:sz w:val="18"/>
      <w:szCs w:val="18"/>
      <w:lang w:eastAsia="en-AU"/>
    </w:rPr>
  </w:style>
  <w:style w:type="table" w:styleId="TableGrid">
    <w:name w:val="Table Grid"/>
    <w:basedOn w:val="TableNormal"/>
    <w:rsid w:val="009F13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semiHidden/>
    <w:rsid w:val="00515FDD"/>
    <w:rPr>
      <w:sz w:val="22"/>
      <w:szCs w:val="24"/>
    </w:rPr>
  </w:style>
  <w:style w:type="character" w:styleId="Hyperlink">
    <w:name w:val="Hyperlink"/>
    <w:basedOn w:val="DefaultParagraphFont"/>
    <w:unhideWhenUsed/>
    <w:rsid w:val="00BA7A15"/>
    <w:rPr>
      <w:color w:val="0000FF" w:themeColor="hyperlink"/>
      <w:u w:val="single"/>
    </w:rPr>
  </w:style>
  <w:style w:type="character" w:styleId="UnresolvedMention">
    <w:name w:val="Unresolved Mention"/>
    <w:basedOn w:val="DefaultParagraphFont"/>
    <w:uiPriority w:val="99"/>
    <w:semiHidden/>
    <w:unhideWhenUsed/>
    <w:rsid w:val="00BA7A15"/>
    <w:rPr>
      <w:color w:val="605E5C"/>
      <w:shd w:val="clear" w:color="auto" w:fill="E1DFDD"/>
    </w:rPr>
  </w:style>
  <w:style w:type="character" w:customStyle="1" w:styleId="c-pjlv">
    <w:name w:val="c-pjlv"/>
    <w:basedOn w:val="DefaultParagraphFont"/>
    <w:rsid w:val="00F4726B"/>
  </w:style>
  <w:style w:type="paragraph" w:styleId="NormalWeb">
    <w:name w:val="Normal (Web)"/>
    <w:basedOn w:val="Normal"/>
    <w:uiPriority w:val="99"/>
    <w:unhideWhenUsed/>
    <w:rsid w:val="00477E6B"/>
    <w:pPr>
      <w:spacing w:before="100" w:beforeAutospacing="1" w:after="100" w:afterAutospacing="1"/>
      <w:jc w:val="left"/>
    </w:pPr>
    <w:rPr>
      <w:sz w:val="24"/>
      <w:lang w:eastAsia="en-GB"/>
    </w:rPr>
  </w:style>
  <w:style w:type="paragraph" w:styleId="Bibliography">
    <w:name w:val="Bibliography"/>
    <w:basedOn w:val="Normal"/>
    <w:next w:val="Normal"/>
    <w:uiPriority w:val="47"/>
    <w:unhideWhenUsed/>
    <w:rsid w:val="00C73E11"/>
    <w:pPr>
      <w:spacing w:after="240"/>
    </w:pPr>
  </w:style>
  <w:style w:type="character" w:customStyle="1" w:styleId="katex-mathml">
    <w:name w:val="katex-mathml"/>
    <w:basedOn w:val="DefaultParagraphFont"/>
    <w:rsid w:val="00A850E1"/>
  </w:style>
  <w:style w:type="character" w:customStyle="1" w:styleId="mord">
    <w:name w:val="mord"/>
    <w:basedOn w:val="DefaultParagraphFont"/>
    <w:rsid w:val="00A850E1"/>
  </w:style>
  <w:style w:type="character" w:styleId="HTMLCode">
    <w:name w:val="HTML Code"/>
    <w:basedOn w:val="DefaultParagraphFont"/>
    <w:uiPriority w:val="99"/>
    <w:semiHidden/>
    <w:unhideWhenUsed/>
    <w:rsid w:val="00A850E1"/>
    <w:rPr>
      <w:rFonts w:ascii="Courier New" w:eastAsia="Times New Roman" w:hAnsi="Courier New" w:cs="Courier New"/>
      <w:sz w:val="20"/>
      <w:szCs w:val="20"/>
    </w:rPr>
  </w:style>
  <w:style w:type="character" w:styleId="PlaceholderText">
    <w:name w:val="Placeholder Text"/>
    <w:basedOn w:val="DefaultParagraphFont"/>
    <w:uiPriority w:val="67"/>
    <w:semiHidden/>
    <w:rsid w:val="001A0ED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40332">
      <w:bodyDiv w:val="1"/>
      <w:marLeft w:val="0"/>
      <w:marRight w:val="0"/>
      <w:marTop w:val="0"/>
      <w:marBottom w:val="0"/>
      <w:divBdr>
        <w:top w:val="none" w:sz="0" w:space="0" w:color="auto"/>
        <w:left w:val="none" w:sz="0" w:space="0" w:color="auto"/>
        <w:bottom w:val="none" w:sz="0" w:space="0" w:color="auto"/>
        <w:right w:val="none" w:sz="0" w:space="0" w:color="auto"/>
      </w:divBdr>
    </w:div>
    <w:div w:id="109327533">
      <w:bodyDiv w:val="1"/>
      <w:marLeft w:val="0"/>
      <w:marRight w:val="0"/>
      <w:marTop w:val="0"/>
      <w:marBottom w:val="0"/>
      <w:divBdr>
        <w:top w:val="none" w:sz="0" w:space="0" w:color="auto"/>
        <w:left w:val="none" w:sz="0" w:space="0" w:color="auto"/>
        <w:bottom w:val="none" w:sz="0" w:space="0" w:color="auto"/>
        <w:right w:val="none" w:sz="0" w:space="0" w:color="auto"/>
      </w:divBdr>
    </w:div>
    <w:div w:id="165947412">
      <w:bodyDiv w:val="1"/>
      <w:marLeft w:val="0"/>
      <w:marRight w:val="0"/>
      <w:marTop w:val="0"/>
      <w:marBottom w:val="0"/>
      <w:divBdr>
        <w:top w:val="none" w:sz="0" w:space="0" w:color="auto"/>
        <w:left w:val="none" w:sz="0" w:space="0" w:color="auto"/>
        <w:bottom w:val="none" w:sz="0" w:space="0" w:color="auto"/>
        <w:right w:val="none" w:sz="0" w:space="0" w:color="auto"/>
      </w:divBdr>
      <w:divsChild>
        <w:div w:id="936137526">
          <w:marLeft w:val="0"/>
          <w:marRight w:val="0"/>
          <w:marTop w:val="0"/>
          <w:marBottom w:val="0"/>
          <w:divBdr>
            <w:top w:val="none" w:sz="0" w:space="0" w:color="auto"/>
            <w:left w:val="none" w:sz="0" w:space="0" w:color="auto"/>
            <w:bottom w:val="none" w:sz="0" w:space="0" w:color="auto"/>
            <w:right w:val="none" w:sz="0" w:space="0" w:color="auto"/>
          </w:divBdr>
        </w:div>
        <w:div w:id="1415469053">
          <w:marLeft w:val="0"/>
          <w:marRight w:val="0"/>
          <w:marTop w:val="0"/>
          <w:marBottom w:val="0"/>
          <w:divBdr>
            <w:top w:val="none" w:sz="0" w:space="0" w:color="auto"/>
            <w:left w:val="none" w:sz="0" w:space="0" w:color="auto"/>
            <w:bottom w:val="none" w:sz="0" w:space="0" w:color="auto"/>
            <w:right w:val="none" w:sz="0" w:space="0" w:color="auto"/>
          </w:divBdr>
        </w:div>
        <w:div w:id="599487474">
          <w:marLeft w:val="0"/>
          <w:marRight w:val="0"/>
          <w:marTop w:val="0"/>
          <w:marBottom w:val="0"/>
          <w:divBdr>
            <w:top w:val="none" w:sz="0" w:space="0" w:color="auto"/>
            <w:left w:val="none" w:sz="0" w:space="0" w:color="auto"/>
            <w:bottom w:val="none" w:sz="0" w:space="0" w:color="auto"/>
            <w:right w:val="none" w:sz="0" w:space="0" w:color="auto"/>
          </w:divBdr>
        </w:div>
        <w:div w:id="890729745">
          <w:marLeft w:val="0"/>
          <w:marRight w:val="0"/>
          <w:marTop w:val="0"/>
          <w:marBottom w:val="0"/>
          <w:divBdr>
            <w:top w:val="none" w:sz="0" w:space="0" w:color="auto"/>
            <w:left w:val="none" w:sz="0" w:space="0" w:color="auto"/>
            <w:bottom w:val="none" w:sz="0" w:space="0" w:color="auto"/>
            <w:right w:val="none" w:sz="0" w:space="0" w:color="auto"/>
          </w:divBdr>
        </w:div>
        <w:div w:id="800148331">
          <w:marLeft w:val="0"/>
          <w:marRight w:val="0"/>
          <w:marTop w:val="0"/>
          <w:marBottom w:val="0"/>
          <w:divBdr>
            <w:top w:val="none" w:sz="0" w:space="0" w:color="auto"/>
            <w:left w:val="none" w:sz="0" w:space="0" w:color="auto"/>
            <w:bottom w:val="none" w:sz="0" w:space="0" w:color="auto"/>
            <w:right w:val="none" w:sz="0" w:space="0" w:color="auto"/>
          </w:divBdr>
        </w:div>
        <w:div w:id="1867478717">
          <w:marLeft w:val="0"/>
          <w:marRight w:val="0"/>
          <w:marTop w:val="0"/>
          <w:marBottom w:val="0"/>
          <w:divBdr>
            <w:top w:val="none" w:sz="0" w:space="0" w:color="auto"/>
            <w:left w:val="none" w:sz="0" w:space="0" w:color="auto"/>
            <w:bottom w:val="none" w:sz="0" w:space="0" w:color="auto"/>
            <w:right w:val="none" w:sz="0" w:space="0" w:color="auto"/>
          </w:divBdr>
        </w:div>
        <w:div w:id="1339500377">
          <w:marLeft w:val="0"/>
          <w:marRight w:val="0"/>
          <w:marTop w:val="0"/>
          <w:marBottom w:val="0"/>
          <w:divBdr>
            <w:top w:val="none" w:sz="0" w:space="0" w:color="auto"/>
            <w:left w:val="none" w:sz="0" w:space="0" w:color="auto"/>
            <w:bottom w:val="none" w:sz="0" w:space="0" w:color="auto"/>
            <w:right w:val="none" w:sz="0" w:space="0" w:color="auto"/>
          </w:divBdr>
        </w:div>
        <w:div w:id="632440962">
          <w:marLeft w:val="0"/>
          <w:marRight w:val="0"/>
          <w:marTop w:val="0"/>
          <w:marBottom w:val="0"/>
          <w:divBdr>
            <w:top w:val="none" w:sz="0" w:space="0" w:color="auto"/>
            <w:left w:val="none" w:sz="0" w:space="0" w:color="auto"/>
            <w:bottom w:val="none" w:sz="0" w:space="0" w:color="auto"/>
            <w:right w:val="none" w:sz="0" w:space="0" w:color="auto"/>
          </w:divBdr>
        </w:div>
        <w:div w:id="886836611">
          <w:marLeft w:val="0"/>
          <w:marRight w:val="0"/>
          <w:marTop w:val="0"/>
          <w:marBottom w:val="0"/>
          <w:divBdr>
            <w:top w:val="none" w:sz="0" w:space="0" w:color="auto"/>
            <w:left w:val="none" w:sz="0" w:space="0" w:color="auto"/>
            <w:bottom w:val="none" w:sz="0" w:space="0" w:color="auto"/>
            <w:right w:val="none" w:sz="0" w:space="0" w:color="auto"/>
          </w:divBdr>
        </w:div>
        <w:div w:id="1554388758">
          <w:marLeft w:val="0"/>
          <w:marRight w:val="0"/>
          <w:marTop w:val="0"/>
          <w:marBottom w:val="0"/>
          <w:divBdr>
            <w:top w:val="none" w:sz="0" w:space="0" w:color="auto"/>
            <w:left w:val="none" w:sz="0" w:space="0" w:color="auto"/>
            <w:bottom w:val="none" w:sz="0" w:space="0" w:color="auto"/>
            <w:right w:val="none" w:sz="0" w:space="0" w:color="auto"/>
          </w:divBdr>
        </w:div>
        <w:div w:id="791706929">
          <w:marLeft w:val="0"/>
          <w:marRight w:val="0"/>
          <w:marTop w:val="0"/>
          <w:marBottom w:val="0"/>
          <w:divBdr>
            <w:top w:val="none" w:sz="0" w:space="0" w:color="auto"/>
            <w:left w:val="none" w:sz="0" w:space="0" w:color="auto"/>
            <w:bottom w:val="none" w:sz="0" w:space="0" w:color="auto"/>
            <w:right w:val="none" w:sz="0" w:space="0" w:color="auto"/>
          </w:divBdr>
        </w:div>
        <w:div w:id="1882591691">
          <w:marLeft w:val="0"/>
          <w:marRight w:val="0"/>
          <w:marTop w:val="0"/>
          <w:marBottom w:val="0"/>
          <w:divBdr>
            <w:top w:val="none" w:sz="0" w:space="0" w:color="auto"/>
            <w:left w:val="none" w:sz="0" w:space="0" w:color="auto"/>
            <w:bottom w:val="none" w:sz="0" w:space="0" w:color="auto"/>
            <w:right w:val="none" w:sz="0" w:space="0" w:color="auto"/>
          </w:divBdr>
        </w:div>
        <w:div w:id="373576873">
          <w:marLeft w:val="0"/>
          <w:marRight w:val="0"/>
          <w:marTop w:val="0"/>
          <w:marBottom w:val="0"/>
          <w:divBdr>
            <w:top w:val="none" w:sz="0" w:space="0" w:color="auto"/>
            <w:left w:val="none" w:sz="0" w:space="0" w:color="auto"/>
            <w:bottom w:val="none" w:sz="0" w:space="0" w:color="auto"/>
            <w:right w:val="none" w:sz="0" w:space="0" w:color="auto"/>
          </w:divBdr>
        </w:div>
        <w:div w:id="1853571189">
          <w:marLeft w:val="0"/>
          <w:marRight w:val="0"/>
          <w:marTop w:val="0"/>
          <w:marBottom w:val="0"/>
          <w:divBdr>
            <w:top w:val="none" w:sz="0" w:space="0" w:color="auto"/>
            <w:left w:val="none" w:sz="0" w:space="0" w:color="auto"/>
            <w:bottom w:val="none" w:sz="0" w:space="0" w:color="auto"/>
            <w:right w:val="none" w:sz="0" w:space="0" w:color="auto"/>
          </w:divBdr>
        </w:div>
        <w:div w:id="1403943207">
          <w:marLeft w:val="0"/>
          <w:marRight w:val="0"/>
          <w:marTop w:val="0"/>
          <w:marBottom w:val="0"/>
          <w:divBdr>
            <w:top w:val="none" w:sz="0" w:space="0" w:color="auto"/>
            <w:left w:val="none" w:sz="0" w:space="0" w:color="auto"/>
            <w:bottom w:val="none" w:sz="0" w:space="0" w:color="auto"/>
            <w:right w:val="none" w:sz="0" w:space="0" w:color="auto"/>
          </w:divBdr>
        </w:div>
        <w:div w:id="1872719928">
          <w:marLeft w:val="0"/>
          <w:marRight w:val="0"/>
          <w:marTop w:val="0"/>
          <w:marBottom w:val="0"/>
          <w:divBdr>
            <w:top w:val="none" w:sz="0" w:space="0" w:color="auto"/>
            <w:left w:val="none" w:sz="0" w:space="0" w:color="auto"/>
            <w:bottom w:val="none" w:sz="0" w:space="0" w:color="auto"/>
            <w:right w:val="none" w:sz="0" w:space="0" w:color="auto"/>
          </w:divBdr>
        </w:div>
        <w:div w:id="965089246">
          <w:marLeft w:val="0"/>
          <w:marRight w:val="0"/>
          <w:marTop w:val="0"/>
          <w:marBottom w:val="0"/>
          <w:divBdr>
            <w:top w:val="none" w:sz="0" w:space="0" w:color="auto"/>
            <w:left w:val="none" w:sz="0" w:space="0" w:color="auto"/>
            <w:bottom w:val="none" w:sz="0" w:space="0" w:color="auto"/>
            <w:right w:val="none" w:sz="0" w:space="0" w:color="auto"/>
          </w:divBdr>
        </w:div>
        <w:div w:id="538591070">
          <w:marLeft w:val="0"/>
          <w:marRight w:val="0"/>
          <w:marTop w:val="0"/>
          <w:marBottom w:val="0"/>
          <w:divBdr>
            <w:top w:val="none" w:sz="0" w:space="0" w:color="auto"/>
            <w:left w:val="none" w:sz="0" w:space="0" w:color="auto"/>
            <w:bottom w:val="none" w:sz="0" w:space="0" w:color="auto"/>
            <w:right w:val="none" w:sz="0" w:space="0" w:color="auto"/>
          </w:divBdr>
        </w:div>
        <w:div w:id="436098522">
          <w:marLeft w:val="0"/>
          <w:marRight w:val="0"/>
          <w:marTop w:val="0"/>
          <w:marBottom w:val="0"/>
          <w:divBdr>
            <w:top w:val="none" w:sz="0" w:space="0" w:color="auto"/>
            <w:left w:val="none" w:sz="0" w:space="0" w:color="auto"/>
            <w:bottom w:val="none" w:sz="0" w:space="0" w:color="auto"/>
            <w:right w:val="none" w:sz="0" w:space="0" w:color="auto"/>
          </w:divBdr>
        </w:div>
        <w:div w:id="895429735">
          <w:marLeft w:val="0"/>
          <w:marRight w:val="0"/>
          <w:marTop w:val="0"/>
          <w:marBottom w:val="0"/>
          <w:divBdr>
            <w:top w:val="none" w:sz="0" w:space="0" w:color="auto"/>
            <w:left w:val="none" w:sz="0" w:space="0" w:color="auto"/>
            <w:bottom w:val="none" w:sz="0" w:space="0" w:color="auto"/>
            <w:right w:val="none" w:sz="0" w:space="0" w:color="auto"/>
          </w:divBdr>
        </w:div>
        <w:div w:id="2028285977">
          <w:marLeft w:val="0"/>
          <w:marRight w:val="0"/>
          <w:marTop w:val="0"/>
          <w:marBottom w:val="0"/>
          <w:divBdr>
            <w:top w:val="none" w:sz="0" w:space="0" w:color="auto"/>
            <w:left w:val="none" w:sz="0" w:space="0" w:color="auto"/>
            <w:bottom w:val="none" w:sz="0" w:space="0" w:color="auto"/>
            <w:right w:val="none" w:sz="0" w:space="0" w:color="auto"/>
          </w:divBdr>
        </w:div>
        <w:div w:id="1467969181">
          <w:marLeft w:val="0"/>
          <w:marRight w:val="0"/>
          <w:marTop w:val="0"/>
          <w:marBottom w:val="0"/>
          <w:divBdr>
            <w:top w:val="none" w:sz="0" w:space="0" w:color="auto"/>
            <w:left w:val="none" w:sz="0" w:space="0" w:color="auto"/>
            <w:bottom w:val="none" w:sz="0" w:space="0" w:color="auto"/>
            <w:right w:val="none" w:sz="0" w:space="0" w:color="auto"/>
          </w:divBdr>
        </w:div>
        <w:div w:id="599801867">
          <w:marLeft w:val="0"/>
          <w:marRight w:val="0"/>
          <w:marTop w:val="0"/>
          <w:marBottom w:val="0"/>
          <w:divBdr>
            <w:top w:val="none" w:sz="0" w:space="0" w:color="auto"/>
            <w:left w:val="none" w:sz="0" w:space="0" w:color="auto"/>
            <w:bottom w:val="none" w:sz="0" w:space="0" w:color="auto"/>
            <w:right w:val="none" w:sz="0" w:space="0" w:color="auto"/>
          </w:divBdr>
        </w:div>
      </w:divsChild>
    </w:div>
    <w:div w:id="182323712">
      <w:bodyDiv w:val="1"/>
      <w:marLeft w:val="0"/>
      <w:marRight w:val="0"/>
      <w:marTop w:val="0"/>
      <w:marBottom w:val="0"/>
      <w:divBdr>
        <w:top w:val="none" w:sz="0" w:space="0" w:color="auto"/>
        <w:left w:val="none" w:sz="0" w:space="0" w:color="auto"/>
        <w:bottom w:val="none" w:sz="0" w:space="0" w:color="auto"/>
        <w:right w:val="none" w:sz="0" w:space="0" w:color="auto"/>
      </w:divBdr>
    </w:div>
    <w:div w:id="267782784">
      <w:bodyDiv w:val="1"/>
      <w:marLeft w:val="0"/>
      <w:marRight w:val="0"/>
      <w:marTop w:val="0"/>
      <w:marBottom w:val="0"/>
      <w:divBdr>
        <w:top w:val="none" w:sz="0" w:space="0" w:color="auto"/>
        <w:left w:val="none" w:sz="0" w:space="0" w:color="auto"/>
        <w:bottom w:val="none" w:sz="0" w:space="0" w:color="auto"/>
        <w:right w:val="none" w:sz="0" w:space="0" w:color="auto"/>
      </w:divBdr>
    </w:div>
    <w:div w:id="322899377">
      <w:bodyDiv w:val="1"/>
      <w:marLeft w:val="0"/>
      <w:marRight w:val="0"/>
      <w:marTop w:val="0"/>
      <w:marBottom w:val="0"/>
      <w:divBdr>
        <w:top w:val="none" w:sz="0" w:space="0" w:color="auto"/>
        <w:left w:val="none" w:sz="0" w:space="0" w:color="auto"/>
        <w:bottom w:val="none" w:sz="0" w:space="0" w:color="auto"/>
        <w:right w:val="none" w:sz="0" w:space="0" w:color="auto"/>
      </w:divBdr>
    </w:div>
    <w:div w:id="386731301">
      <w:bodyDiv w:val="1"/>
      <w:marLeft w:val="0"/>
      <w:marRight w:val="0"/>
      <w:marTop w:val="0"/>
      <w:marBottom w:val="0"/>
      <w:divBdr>
        <w:top w:val="none" w:sz="0" w:space="0" w:color="auto"/>
        <w:left w:val="none" w:sz="0" w:space="0" w:color="auto"/>
        <w:bottom w:val="none" w:sz="0" w:space="0" w:color="auto"/>
        <w:right w:val="none" w:sz="0" w:space="0" w:color="auto"/>
      </w:divBdr>
      <w:divsChild>
        <w:div w:id="62065303">
          <w:marLeft w:val="0"/>
          <w:marRight w:val="0"/>
          <w:marTop w:val="0"/>
          <w:marBottom w:val="0"/>
          <w:divBdr>
            <w:top w:val="none" w:sz="0" w:space="0" w:color="auto"/>
            <w:left w:val="none" w:sz="0" w:space="0" w:color="auto"/>
            <w:bottom w:val="none" w:sz="0" w:space="0" w:color="auto"/>
            <w:right w:val="none" w:sz="0" w:space="0" w:color="auto"/>
          </w:divBdr>
        </w:div>
        <w:div w:id="1359307332">
          <w:marLeft w:val="0"/>
          <w:marRight w:val="0"/>
          <w:marTop w:val="0"/>
          <w:marBottom w:val="0"/>
          <w:divBdr>
            <w:top w:val="none" w:sz="0" w:space="0" w:color="auto"/>
            <w:left w:val="none" w:sz="0" w:space="0" w:color="auto"/>
            <w:bottom w:val="none" w:sz="0" w:space="0" w:color="auto"/>
            <w:right w:val="none" w:sz="0" w:space="0" w:color="auto"/>
          </w:divBdr>
        </w:div>
        <w:div w:id="2018381469">
          <w:marLeft w:val="0"/>
          <w:marRight w:val="0"/>
          <w:marTop w:val="0"/>
          <w:marBottom w:val="0"/>
          <w:divBdr>
            <w:top w:val="none" w:sz="0" w:space="0" w:color="auto"/>
            <w:left w:val="none" w:sz="0" w:space="0" w:color="auto"/>
            <w:bottom w:val="none" w:sz="0" w:space="0" w:color="auto"/>
            <w:right w:val="none" w:sz="0" w:space="0" w:color="auto"/>
          </w:divBdr>
        </w:div>
        <w:div w:id="726222184">
          <w:marLeft w:val="0"/>
          <w:marRight w:val="0"/>
          <w:marTop w:val="0"/>
          <w:marBottom w:val="0"/>
          <w:divBdr>
            <w:top w:val="none" w:sz="0" w:space="0" w:color="auto"/>
            <w:left w:val="none" w:sz="0" w:space="0" w:color="auto"/>
            <w:bottom w:val="none" w:sz="0" w:space="0" w:color="auto"/>
            <w:right w:val="none" w:sz="0" w:space="0" w:color="auto"/>
          </w:divBdr>
        </w:div>
        <w:div w:id="1099374524">
          <w:marLeft w:val="0"/>
          <w:marRight w:val="0"/>
          <w:marTop w:val="0"/>
          <w:marBottom w:val="0"/>
          <w:divBdr>
            <w:top w:val="none" w:sz="0" w:space="0" w:color="auto"/>
            <w:left w:val="none" w:sz="0" w:space="0" w:color="auto"/>
            <w:bottom w:val="none" w:sz="0" w:space="0" w:color="auto"/>
            <w:right w:val="none" w:sz="0" w:space="0" w:color="auto"/>
          </w:divBdr>
        </w:div>
        <w:div w:id="1987707613">
          <w:marLeft w:val="0"/>
          <w:marRight w:val="0"/>
          <w:marTop w:val="0"/>
          <w:marBottom w:val="0"/>
          <w:divBdr>
            <w:top w:val="none" w:sz="0" w:space="0" w:color="auto"/>
            <w:left w:val="none" w:sz="0" w:space="0" w:color="auto"/>
            <w:bottom w:val="none" w:sz="0" w:space="0" w:color="auto"/>
            <w:right w:val="none" w:sz="0" w:space="0" w:color="auto"/>
          </w:divBdr>
        </w:div>
        <w:div w:id="1809129581">
          <w:marLeft w:val="0"/>
          <w:marRight w:val="0"/>
          <w:marTop w:val="0"/>
          <w:marBottom w:val="0"/>
          <w:divBdr>
            <w:top w:val="none" w:sz="0" w:space="0" w:color="auto"/>
            <w:left w:val="none" w:sz="0" w:space="0" w:color="auto"/>
            <w:bottom w:val="none" w:sz="0" w:space="0" w:color="auto"/>
            <w:right w:val="none" w:sz="0" w:space="0" w:color="auto"/>
          </w:divBdr>
        </w:div>
        <w:div w:id="2005623826">
          <w:marLeft w:val="0"/>
          <w:marRight w:val="0"/>
          <w:marTop w:val="0"/>
          <w:marBottom w:val="0"/>
          <w:divBdr>
            <w:top w:val="none" w:sz="0" w:space="0" w:color="auto"/>
            <w:left w:val="none" w:sz="0" w:space="0" w:color="auto"/>
            <w:bottom w:val="none" w:sz="0" w:space="0" w:color="auto"/>
            <w:right w:val="none" w:sz="0" w:space="0" w:color="auto"/>
          </w:divBdr>
        </w:div>
        <w:div w:id="722294079">
          <w:marLeft w:val="0"/>
          <w:marRight w:val="0"/>
          <w:marTop w:val="0"/>
          <w:marBottom w:val="0"/>
          <w:divBdr>
            <w:top w:val="none" w:sz="0" w:space="0" w:color="auto"/>
            <w:left w:val="none" w:sz="0" w:space="0" w:color="auto"/>
            <w:bottom w:val="none" w:sz="0" w:space="0" w:color="auto"/>
            <w:right w:val="none" w:sz="0" w:space="0" w:color="auto"/>
          </w:divBdr>
        </w:div>
        <w:div w:id="2105148475">
          <w:marLeft w:val="0"/>
          <w:marRight w:val="0"/>
          <w:marTop w:val="0"/>
          <w:marBottom w:val="0"/>
          <w:divBdr>
            <w:top w:val="none" w:sz="0" w:space="0" w:color="auto"/>
            <w:left w:val="none" w:sz="0" w:space="0" w:color="auto"/>
            <w:bottom w:val="none" w:sz="0" w:space="0" w:color="auto"/>
            <w:right w:val="none" w:sz="0" w:space="0" w:color="auto"/>
          </w:divBdr>
        </w:div>
        <w:div w:id="1710031167">
          <w:marLeft w:val="0"/>
          <w:marRight w:val="0"/>
          <w:marTop w:val="0"/>
          <w:marBottom w:val="0"/>
          <w:divBdr>
            <w:top w:val="none" w:sz="0" w:space="0" w:color="auto"/>
            <w:left w:val="none" w:sz="0" w:space="0" w:color="auto"/>
            <w:bottom w:val="none" w:sz="0" w:space="0" w:color="auto"/>
            <w:right w:val="none" w:sz="0" w:space="0" w:color="auto"/>
          </w:divBdr>
        </w:div>
        <w:div w:id="1581136125">
          <w:marLeft w:val="0"/>
          <w:marRight w:val="0"/>
          <w:marTop w:val="0"/>
          <w:marBottom w:val="0"/>
          <w:divBdr>
            <w:top w:val="none" w:sz="0" w:space="0" w:color="auto"/>
            <w:left w:val="none" w:sz="0" w:space="0" w:color="auto"/>
            <w:bottom w:val="none" w:sz="0" w:space="0" w:color="auto"/>
            <w:right w:val="none" w:sz="0" w:space="0" w:color="auto"/>
          </w:divBdr>
        </w:div>
        <w:div w:id="1298873346">
          <w:marLeft w:val="0"/>
          <w:marRight w:val="0"/>
          <w:marTop w:val="0"/>
          <w:marBottom w:val="0"/>
          <w:divBdr>
            <w:top w:val="none" w:sz="0" w:space="0" w:color="auto"/>
            <w:left w:val="none" w:sz="0" w:space="0" w:color="auto"/>
            <w:bottom w:val="none" w:sz="0" w:space="0" w:color="auto"/>
            <w:right w:val="none" w:sz="0" w:space="0" w:color="auto"/>
          </w:divBdr>
        </w:div>
        <w:div w:id="755857365">
          <w:marLeft w:val="0"/>
          <w:marRight w:val="0"/>
          <w:marTop w:val="0"/>
          <w:marBottom w:val="0"/>
          <w:divBdr>
            <w:top w:val="none" w:sz="0" w:space="0" w:color="auto"/>
            <w:left w:val="none" w:sz="0" w:space="0" w:color="auto"/>
            <w:bottom w:val="none" w:sz="0" w:space="0" w:color="auto"/>
            <w:right w:val="none" w:sz="0" w:space="0" w:color="auto"/>
          </w:divBdr>
        </w:div>
        <w:div w:id="1505895170">
          <w:marLeft w:val="0"/>
          <w:marRight w:val="0"/>
          <w:marTop w:val="0"/>
          <w:marBottom w:val="0"/>
          <w:divBdr>
            <w:top w:val="none" w:sz="0" w:space="0" w:color="auto"/>
            <w:left w:val="none" w:sz="0" w:space="0" w:color="auto"/>
            <w:bottom w:val="none" w:sz="0" w:space="0" w:color="auto"/>
            <w:right w:val="none" w:sz="0" w:space="0" w:color="auto"/>
          </w:divBdr>
        </w:div>
        <w:div w:id="534193674">
          <w:marLeft w:val="0"/>
          <w:marRight w:val="0"/>
          <w:marTop w:val="0"/>
          <w:marBottom w:val="0"/>
          <w:divBdr>
            <w:top w:val="none" w:sz="0" w:space="0" w:color="auto"/>
            <w:left w:val="none" w:sz="0" w:space="0" w:color="auto"/>
            <w:bottom w:val="none" w:sz="0" w:space="0" w:color="auto"/>
            <w:right w:val="none" w:sz="0" w:space="0" w:color="auto"/>
          </w:divBdr>
        </w:div>
        <w:div w:id="1468350638">
          <w:marLeft w:val="0"/>
          <w:marRight w:val="0"/>
          <w:marTop w:val="0"/>
          <w:marBottom w:val="0"/>
          <w:divBdr>
            <w:top w:val="none" w:sz="0" w:space="0" w:color="auto"/>
            <w:left w:val="none" w:sz="0" w:space="0" w:color="auto"/>
            <w:bottom w:val="none" w:sz="0" w:space="0" w:color="auto"/>
            <w:right w:val="none" w:sz="0" w:space="0" w:color="auto"/>
          </w:divBdr>
        </w:div>
        <w:div w:id="2002655696">
          <w:marLeft w:val="0"/>
          <w:marRight w:val="0"/>
          <w:marTop w:val="0"/>
          <w:marBottom w:val="0"/>
          <w:divBdr>
            <w:top w:val="none" w:sz="0" w:space="0" w:color="auto"/>
            <w:left w:val="none" w:sz="0" w:space="0" w:color="auto"/>
            <w:bottom w:val="none" w:sz="0" w:space="0" w:color="auto"/>
            <w:right w:val="none" w:sz="0" w:space="0" w:color="auto"/>
          </w:divBdr>
        </w:div>
        <w:div w:id="1466581743">
          <w:marLeft w:val="0"/>
          <w:marRight w:val="0"/>
          <w:marTop w:val="0"/>
          <w:marBottom w:val="0"/>
          <w:divBdr>
            <w:top w:val="none" w:sz="0" w:space="0" w:color="auto"/>
            <w:left w:val="none" w:sz="0" w:space="0" w:color="auto"/>
            <w:bottom w:val="none" w:sz="0" w:space="0" w:color="auto"/>
            <w:right w:val="none" w:sz="0" w:space="0" w:color="auto"/>
          </w:divBdr>
        </w:div>
        <w:div w:id="1967422135">
          <w:marLeft w:val="0"/>
          <w:marRight w:val="0"/>
          <w:marTop w:val="0"/>
          <w:marBottom w:val="0"/>
          <w:divBdr>
            <w:top w:val="none" w:sz="0" w:space="0" w:color="auto"/>
            <w:left w:val="none" w:sz="0" w:space="0" w:color="auto"/>
            <w:bottom w:val="none" w:sz="0" w:space="0" w:color="auto"/>
            <w:right w:val="none" w:sz="0" w:space="0" w:color="auto"/>
          </w:divBdr>
        </w:div>
        <w:div w:id="1581520571">
          <w:marLeft w:val="0"/>
          <w:marRight w:val="0"/>
          <w:marTop w:val="0"/>
          <w:marBottom w:val="0"/>
          <w:divBdr>
            <w:top w:val="none" w:sz="0" w:space="0" w:color="auto"/>
            <w:left w:val="none" w:sz="0" w:space="0" w:color="auto"/>
            <w:bottom w:val="none" w:sz="0" w:space="0" w:color="auto"/>
            <w:right w:val="none" w:sz="0" w:space="0" w:color="auto"/>
          </w:divBdr>
        </w:div>
      </w:divsChild>
    </w:div>
    <w:div w:id="396367762">
      <w:bodyDiv w:val="1"/>
      <w:marLeft w:val="0"/>
      <w:marRight w:val="0"/>
      <w:marTop w:val="0"/>
      <w:marBottom w:val="0"/>
      <w:divBdr>
        <w:top w:val="none" w:sz="0" w:space="0" w:color="auto"/>
        <w:left w:val="none" w:sz="0" w:space="0" w:color="auto"/>
        <w:bottom w:val="none" w:sz="0" w:space="0" w:color="auto"/>
        <w:right w:val="none" w:sz="0" w:space="0" w:color="auto"/>
      </w:divBdr>
      <w:divsChild>
        <w:div w:id="227422378">
          <w:marLeft w:val="0"/>
          <w:marRight w:val="0"/>
          <w:marTop w:val="0"/>
          <w:marBottom w:val="0"/>
          <w:divBdr>
            <w:top w:val="none" w:sz="0" w:space="0" w:color="auto"/>
            <w:left w:val="none" w:sz="0" w:space="0" w:color="auto"/>
            <w:bottom w:val="none" w:sz="0" w:space="0" w:color="auto"/>
            <w:right w:val="none" w:sz="0" w:space="0" w:color="auto"/>
          </w:divBdr>
        </w:div>
        <w:div w:id="98373730">
          <w:marLeft w:val="0"/>
          <w:marRight w:val="0"/>
          <w:marTop w:val="0"/>
          <w:marBottom w:val="0"/>
          <w:divBdr>
            <w:top w:val="none" w:sz="0" w:space="0" w:color="auto"/>
            <w:left w:val="none" w:sz="0" w:space="0" w:color="auto"/>
            <w:bottom w:val="none" w:sz="0" w:space="0" w:color="auto"/>
            <w:right w:val="none" w:sz="0" w:space="0" w:color="auto"/>
          </w:divBdr>
        </w:div>
        <w:div w:id="493497803">
          <w:marLeft w:val="0"/>
          <w:marRight w:val="0"/>
          <w:marTop w:val="0"/>
          <w:marBottom w:val="0"/>
          <w:divBdr>
            <w:top w:val="none" w:sz="0" w:space="0" w:color="auto"/>
            <w:left w:val="none" w:sz="0" w:space="0" w:color="auto"/>
            <w:bottom w:val="none" w:sz="0" w:space="0" w:color="auto"/>
            <w:right w:val="none" w:sz="0" w:space="0" w:color="auto"/>
          </w:divBdr>
        </w:div>
        <w:div w:id="1651523531">
          <w:marLeft w:val="0"/>
          <w:marRight w:val="0"/>
          <w:marTop w:val="0"/>
          <w:marBottom w:val="0"/>
          <w:divBdr>
            <w:top w:val="none" w:sz="0" w:space="0" w:color="auto"/>
            <w:left w:val="none" w:sz="0" w:space="0" w:color="auto"/>
            <w:bottom w:val="none" w:sz="0" w:space="0" w:color="auto"/>
            <w:right w:val="none" w:sz="0" w:space="0" w:color="auto"/>
          </w:divBdr>
        </w:div>
        <w:div w:id="1850950282">
          <w:marLeft w:val="0"/>
          <w:marRight w:val="0"/>
          <w:marTop w:val="0"/>
          <w:marBottom w:val="0"/>
          <w:divBdr>
            <w:top w:val="none" w:sz="0" w:space="0" w:color="auto"/>
            <w:left w:val="none" w:sz="0" w:space="0" w:color="auto"/>
            <w:bottom w:val="none" w:sz="0" w:space="0" w:color="auto"/>
            <w:right w:val="none" w:sz="0" w:space="0" w:color="auto"/>
          </w:divBdr>
        </w:div>
        <w:div w:id="1284650870">
          <w:marLeft w:val="0"/>
          <w:marRight w:val="0"/>
          <w:marTop w:val="0"/>
          <w:marBottom w:val="0"/>
          <w:divBdr>
            <w:top w:val="none" w:sz="0" w:space="0" w:color="auto"/>
            <w:left w:val="none" w:sz="0" w:space="0" w:color="auto"/>
            <w:bottom w:val="none" w:sz="0" w:space="0" w:color="auto"/>
            <w:right w:val="none" w:sz="0" w:space="0" w:color="auto"/>
          </w:divBdr>
        </w:div>
        <w:div w:id="1403791708">
          <w:marLeft w:val="0"/>
          <w:marRight w:val="0"/>
          <w:marTop w:val="0"/>
          <w:marBottom w:val="0"/>
          <w:divBdr>
            <w:top w:val="none" w:sz="0" w:space="0" w:color="auto"/>
            <w:left w:val="none" w:sz="0" w:space="0" w:color="auto"/>
            <w:bottom w:val="none" w:sz="0" w:space="0" w:color="auto"/>
            <w:right w:val="none" w:sz="0" w:space="0" w:color="auto"/>
          </w:divBdr>
        </w:div>
        <w:div w:id="944192553">
          <w:marLeft w:val="0"/>
          <w:marRight w:val="0"/>
          <w:marTop w:val="0"/>
          <w:marBottom w:val="0"/>
          <w:divBdr>
            <w:top w:val="none" w:sz="0" w:space="0" w:color="auto"/>
            <w:left w:val="none" w:sz="0" w:space="0" w:color="auto"/>
            <w:bottom w:val="none" w:sz="0" w:space="0" w:color="auto"/>
            <w:right w:val="none" w:sz="0" w:space="0" w:color="auto"/>
          </w:divBdr>
        </w:div>
        <w:div w:id="210272229">
          <w:marLeft w:val="0"/>
          <w:marRight w:val="0"/>
          <w:marTop w:val="0"/>
          <w:marBottom w:val="0"/>
          <w:divBdr>
            <w:top w:val="none" w:sz="0" w:space="0" w:color="auto"/>
            <w:left w:val="none" w:sz="0" w:space="0" w:color="auto"/>
            <w:bottom w:val="none" w:sz="0" w:space="0" w:color="auto"/>
            <w:right w:val="none" w:sz="0" w:space="0" w:color="auto"/>
          </w:divBdr>
        </w:div>
        <w:div w:id="860125158">
          <w:marLeft w:val="0"/>
          <w:marRight w:val="0"/>
          <w:marTop w:val="0"/>
          <w:marBottom w:val="0"/>
          <w:divBdr>
            <w:top w:val="none" w:sz="0" w:space="0" w:color="auto"/>
            <w:left w:val="none" w:sz="0" w:space="0" w:color="auto"/>
            <w:bottom w:val="none" w:sz="0" w:space="0" w:color="auto"/>
            <w:right w:val="none" w:sz="0" w:space="0" w:color="auto"/>
          </w:divBdr>
        </w:div>
        <w:div w:id="1664357045">
          <w:marLeft w:val="0"/>
          <w:marRight w:val="0"/>
          <w:marTop w:val="0"/>
          <w:marBottom w:val="0"/>
          <w:divBdr>
            <w:top w:val="none" w:sz="0" w:space="0" w:color="auto"/>
            <w:left w:val="none" w:sz="0" w:space="0" w:color="auto"/>
            <w:bottom w:val="none" w:sz="0" w:space="0" w:color="auto"/>
            <w:right w:val="none" w:sz="0" w:space="0" w:color="auto"/>
          </w:divBdr>
        </w:div>
        <w:div w:id="1180582751">
          <w:marLeft w:val="0"/>
          <w:marRight w:val="0"/>
          <w:marTop w:val="0"/>
          <w:marBottom w:val="0"/>
          <w:divBdr>
            <w:top w:val="none" w:sz="0" w:space="0" w:color="auto"/>
            <w:left w:val="none" w:sz="0" w:space="0" w:color="auto"/>
            <w:bottom w:val="none" w:sz="0" w:space="0" w:color="auto"/>
            <w:right w:val="none" w:sz="0" w:space="0" w:color="auto"/>
          </w:divBdr>
        </w:div>
        <w:div w:id="917791626">
          <w:marLeft w:val="0"/>
          <w:marRight w:val="0"/>
          <w:marTop w:val="0"/>
          <w:marBottom w:val="0"/>
          <w:divBdr>
            <w:top w:val="none" w:sz="0" w:space="0" w:color="auto"/>
            <w:left w:val="none" w:sz="0" w:space="0" w:color="auto"/>
            <w:bottom w:val="none" w:sz="0" w:space="0" w:color="auto"/>
            <w:right w:val="none" w:sz="0" w:space="0" w:color="auto"/>
          </w:divBdr>
        </w:div>
        <w:div w:id="951060804">
          <w:marLeft w:val="0"/>
          <w:marRight w:val="0"/>
          <w:marTop w:val="0"/>
          <w:marBottom w:val="0"/>
          <w:divBdr>
            <w:top w:val="none" w:sz="0" w:space="0" w:color="auto"/>
            <w:left w:val="none" w:sz="0" w:space="0" w:color="auto"/>
            <w:bottom w:val="none" w:sz="0" w:space="0" w:color="auto"/>
            <w:right w:val="none" w:sz="0" w:space="0" w:color="auto"/>
          </w:divBdr>
        </w:div>
        <w:div w:id="2094466965">
          <w:marLeft w:val="0"/>
          <w:marRight w:val="0"/>
          <w:marTop w:val="0"/>
          <w:marBottom w:val="0"/>
          <w:divBdr>
            <w:top w:val="none" w:sz="0" w:space="0" w:color="auto"/>
            <w:left w:val="none" w:sz="0" w:space="0" w:color="auto"/>
            <w:bottom w:val="none" w:sz="0" w:space="0" w:color="auto"/>
            <w:right w:val="none" w:sz="0" w:space="0" w:color="auto"/>
          </w:divBdr>
        </w:div>
        <w:div w:id="1916669610">
          <w:marLeft w:val="0"/>
          <w:marRight w:val="0"/>
          <w:marTop w:val="0"/>
          <w:marBottom w:val="0"/>
          <w:divBdr>
            <w:top w:val="none" w:sz="0" w:space="0" w:color="auto"/>
            <w:left w:val="none" w:sz="0" w:space="0" w:color="auto"/>
            <w:bottom w:val="none" w:sz="0" w:space="0" w:color="auto"/>
            <w:right w:val="none" w:sz="0" w:space="0" w:color="auto"/>
          </w:divBdr>
        </w:div>
        <w:div w:id="394402247">
          <w:marLeft w:val="0"/>
          <w:marRight w:val="0"/>
          <w:marTop w:val="0"/>
          <w:marBottom w:val="0"/>
          <w:divBdr>
            <w:top w:val="none" w:sz="0" w:space="0" w:color="auto"/>
            <w:left w:val="none" w:sz="0" w:space="0" w:color="auto"/>
            <w:bottom w:val="none" w:sz="0" w:space="0" w:color="auto"/>
            <w:right w:val="none" w:sz="0" w:space="0" w:color="auto"/>
          </w:divBdr>
        </w:div>
        <w:div w:id="157431807">
          <w:marLeft w:val="0"/>
          <w:marRight w:val="0"/>
          <w:marTop w:val="0"/>
          <w:marBottom w:val="0"/>
          <w:divBdr>
            <w:top w:val="none" w:sz="0" w:space="0" w:color="auto"/>
            <w:left w:val="none" w:sz="0" w:space="0" w:color="auto"/>
            <w:bottom w:val="none" w:sz="0" w:space="0" w:color="auto"/>
            <w:right w:val="none" w:sz="0" w:space="0" w:color="auto"/>
          </w:divBdr>
        </w:div>
        <w:div w:id="999696416">
          <w:marLeft w:val="0"/>
          <w:marRight w:val="0"/>
          <w:marTop w:val="0"/>
          <w:marBottom w:val="0"/>
          <w:divBdr>
            <w:top w:val="none" w:sz="0" w:space="0" w:color="auto"/>
            <w:left w:val="none" w:sz="0" w:space="0" w:color="auto"/>
            <w:bottom w:val="none" w:sz="0" w:space="0" w:color="auto"/>
            <w:right w:val="none" w:sz="0" w:space="0" w:color="auto"/>
          </w:divBdr>
        </w:div>
        <w:div w:id="1965846930">
          <w:marLeft w:val="0"/>
          <w:marRight w:val="0"/>
          <w:marTop w:val="0"/>
          <w:marBottom w:val="0"/>
          <w:divBdr>
            <w:top w:val="none" w:sz="0" w:space="0" w:color="auto"/>
            <w:left w:val="none" w:sz="0" w:space="0" w:color="auto"/>
            <w:bottom w:val="none" w:sz="0" w:space="0" w:color="auto"/>
            <w:right w:val="none" w:sz="0" w:space="0" w:color="auto"/>
          </w:divBdr>
        </w:div>
        <w:div w:id="161622808">
          <w:marLeft w:val="0"/>
          <w:marRight w:val="0"/>
          <w:marTop w:val="0"/>
          <w:marBottom w:val="0"/>
          <w:divBdr>
            <w:top w:val="none" w:sz="0" w:space="0" w:color="auto"/>
            <w:left w:val="none" w:sz="0" w:space="0" w:color="auto"/>
            <w:bottom w:val="none" w:sz="0" w:space="0" w:color="auto"/>
            <w:right w:val="none" w:sz="0" w:space="0" w:color="auto"/>
          </w:divBdr>
        </w:div>
        <w:div w:id="1234968248">
          <w:marLeft w:val="0"/>
          <w:marRight w:val="0"/>
          <w:marTop w:val="0"/>
          <w:marBottom w:val="0"/>
          <w:divBdr>
            <w:top w:val="none" w:sz="0" w:space="0" w:color="auto"/>
            <w:left w:val="none" w:sz="0" w:space="0" w:color="auto"/>
            <w:bottom w:val="none" w:sz="0" w:space="0" w:color="auto"/>
            <w:right w:val="none" w:sz="0" w:space="0" w:color="auto"/>
          </w:divBdr>
        </w:div>
      </w:divsChild>
    </w:div>
    <w:div w:id="471413946">
      <w:bodyDiv w:val="1"/>
      <w:marLeft w:val="0"/>
      <w:marRight w:val="0"/>
      <w:marTop w:val="0"/>
      <w:marBottom w:val="0"/>
      <w:divBdr>
        <w:top w:val="none" w:sz="0" w:space="0" w:color="auto"/>
        <w:left w:val="none" w:sz="0" w:space="0" w:color="auto"/>
        <w:bottom w:val="none" w:sz="0" w:space="0" w:color="auto"/>
        <w:right w:val="none" w:sz="0" w:space="0" w:color="auto"/>
      </w:divBdr>
    </w:div>
    <w:div w:id="562372713">
      <w:bodyDiv w:val="1"/>
      <w:marLeft w:val="0"/>
      <w:marRight w:val="0"/>
      <w:marTop w:val="0"/>
      <w:marBottom w:val="0"/>
      <w:divBdr>
        <w:top w:val="none" w:sz="0" w:space="0" w:color="auto"/>
        <w:left w:val="none" w:sz="0" w:space="0" w:color="auto"/>
        <w:bottom w:val="none" w:sz="0" w:space="0" w:color="auto"/>
        <w:right w:val="none" w:sz="0" w:space="0" w:color="auto"/>
      </w:divBdr>
      <w:divsChild>
        <w:div w:id="1235042026">
          <w:marLeft w:val="0"/>
          <w:marRight w:val="0"/>
          <w:marTop w:val="0"/>
          <w:marBottom w:val="0"/>
          <w:divBdr>
            <w:top w:val="none" w:sz="0" w:space="0" w:color="auto"/>
            <w:left w:val="none" w:sz="0" w:space="0" w:color="auto"/>
            <w:bottom w:val="none" w:sz="0" w:space="0" w:color="auto"/>
            <w:right w:val="none" w:sz="0" w:space="0" w:color="auto"/>
          </w:divBdr>
        </w:div>
        <w:div w:id="565453024">
          <w:marLeft w:val="0"/>
          <w:marRight w:val="0"/>
          <w:marTop w:val="0"/>
          <w:marBottom w:val="0"/>
          <w:divBdr>
            <w:top w:val="none" w:sz="0" w:space="0" w:color="auto"/>
            <w:left w:val="none" w:sz="0" w:space="0" w:color="auto"/>
            <w:bottom w:val="none" w:sz="0" w:space="0" w:color="auto"/>
            <w:right w:val="none" w:sz="0" w:space="0" w:color="auto"/>
          </w:divBdr>
        </w:div>
        <w:div w:id="903100408">
          <w:marLeft w:val="0"/>
          <w:marRight w:val="0"/>
          <w:marTop w:val="0"/>
          <w:marBottom w:val="0"/>
          <w:divBdr>
            <w:top w:val="none" w:sz="0" w:space="0" w:color="auto"/>
            <w:left w:val="none" w:sz="0" w:space="0" w:color="auto"/>
            <w:bottom w:val="none" w:sz="0" w:space="0" w:color="auto"/>
            <w:right w:val="none" w:sz="0" w:space="0" w:color="auto"/>
          </w:divBdr>
        </w:div>
        <w:div w:id="1053851133">
          <w:marLeft w:val="0"/>
          <w:marRight w:val="0"/>
          <w:marTop w:val="0"/>
          <w:marBottom w:val="0"/>
          <w:divBdr>
            <w:top w:val="none" w:sz="0" w:space="0" w:color="auto"/>
            <w:left w:val="none" w:sz="0" w:space="0" w:color="auto"/>
            <w:bottom w:val="none" w:sz="0" w:space="0" w:color="auto"/>
            <w:right w:val="none" w:sz="0" w:space="0" w:color="auto"/>
          </w:divBdr>
        </w:div>
        <w:div w:id="1977221832">
          <w:marLeft w:val="0"/>
          <w:marRight w:val="0"/>
          <w:marTop w:val="0"/>
          <w:marBottom w:val="0"/>
          <w:divBdr>
            <w:top w:val="none" w:sz="0" w:space="0" w:color="auto"/>
            <w:left w:val="none" w:sz="0" w:space="0" w:color="auto"/>
            <w:bottom w:val="none" w:sz="0" w:space="0" w:color="auto"/>
            <w:right w:val="none" w:sz="0" w:space="0" w:color="auto"/>
          </w:divBdr>
        </w:div>
        <w:div w:id="933055385">
          <w:marLeft w:val="0"/>
          <w:marRight w:val="0"/>
          <w:marTop w:val="0"/>
          <w:marBottom w:val="0"/>
          <w:divBdr>
            <w:top w:val="none" w:sz="0" w:space="0" w:color="auto"/>
            <w:left w:val="none" w:sz="0" w:space="0" w:color="auto"/>
            <w:bottom w:val="none" w:sz="0" w:space="0" w:color="auto"/>
            <w:right w:val="none" w:sz="0" w:space="0" w:color="auto"/>
          </w:divBdr>
        </w:div>
        <w:div w:id="1040713500">
          <w:marLeft w:val="0"/>
          <w:marRight w:val="0"/>
          <w:marTop w:val="0"/>
          <w:marBottom w:val="0"/>
          <w:divBdr>
            <w:top w:val="none" w:sz="0" w:space="0" w:color="auto"/>
            <w:left w:val="none" w:sz="0" w:space="0" w:color="auto"/>
            <w:bottom w:val="none" w:sz="0" w:space="0" w:color="auto"/>
            <w:right w:val="none" w:sz="0" w:space="0" w:color="auto"/>
          </w:divBdr>
        </w:div>
        <w:div w:id="954362038">
          <w:marLeft w:val="0"/>
          <w:marRight w:val="0"/>
          <w:marTop w:val="0"/>
          <w:marBottom w:val="0"/>
          <w:divBdr>
            <w:top w:val="none" w:sz="0" w:space="0" w:color="auto"/>
            <w:left w:val="none" w:sz="0" w:space="0" w:color="auto"/>
            <w:bottom w:val="none" w:sz="0" w:space="0" w:color="auto"/>
            <w:right w:val="none" w:sz="0" w:space="0" w:color="auto"/>
          </w:divBdr>
        </w:div>
        <w:div w:id="908419898">
          <w:marLeft w:val="0"/>
          <w:marRight w:val="0"/>
          <w:marTop w:val="0"/>
          <w:marBottom w:val="0"/>
          <w:divBdr>
            <w:top w:val="none" w:sz="0" w:space="0" w:color="auto"/>
            <w:left w:val="none" w:sz="0" w:space="0" w:color="auto"/>
            <w:bottom w:val="none" w:sz="0" w:space="0" w:color="auto"/>
            <w:right w:val="none" w:sz="0" w:space="0" w:color="auto"/>
          </w:divBdr>
        </w:div>
        <w:div w:id="1350446742">
          <w:marLeft w:val="0"/>
          <w:marRight w:val="0"/>
          <w:marTop w:val="0"/>
          <w:marBottom w:val="0"/>
          <w:divBdr>
            <w:top w:val="none" w:sz="0" w:space="0" w:color="auto"/>
            <w:left w:val="none" w:sz="0" w:space="0" w:color="auto"/>
            <w:bottom w:val="none" w:sz="0" w:space="0" w:color="auto"/>
            <w:right w:val="none" w:sz="0" w:space="0" w:color="auto"/>
          </w:divBdr>
        </w:div>
        <w:div w:id="1033730451">
          <w:marLeft w:val="0"/>
          <w:marRight w:val="0"/>
          <w:marTop w:val="0"/>
          <w:marBottom w:val="0"/>
          <w:divBdr>
            <w:top w:val="none" w:sz="0" w:space="0" w:color="auto"/>
            <w:left w:val="none" w:sz="0" w:space="0" w:color="auto"/>
            <w:bottom w:val="none" w:sz="0" w:space="0" w:color="auto"/>
            <w:right w:val="none" w:sz="0" w:space="0" w:color="auto"/>
          </w:divBdr>
        </w:div>
        <w:div w:id="905453525">
          <w:marLeft w:val="0"/>
          <w:marRight w:val="0"/>
          <w:marTop w:val="0"/>
          <w:marBottom w:val="0"/>
          <w:divBdr>
            <w:top w:val="none" w:sz="0" w:space="0" w:color="auto"/>
            <w:left w:val="none" w:sz="0" w:space="0" w:color="auto"/>
            <w:bottom w:val="none" w:sz="0" w:space="0" w:color="auto"/>
            <w:right w:val="none" w:sz="0" w:space="0" w:color="auto"/>
          </w:divBdr>
        </w:div>
        <w:div w:id="1300577586">
          <w:marLeft w:val="0"/>
          <w:marRight w:val="0"/>
          <w:marTop w:val="0"/>
          <w:marBottom w:val="0"/>
          <w:divBdr>
            <w:top w:val="none" w:sz="0" w:space="0" w:color="auto"/>
            <w:left w:val="none" w:sz="0" w:space="0" w:color="auto"/>
            <w:bottom w:val="none" w:sz="0" w:space="0" w:color="auto"/>
            <w:right w:val="none" w:sz="0" w:space="0" w:color="auto"/>
          </w:divBdr>
        </w:div>
        <w:div w:id="933318027">
          <w:marLeft w:val="0"/>
          <w:marRight w:val="0"/>
          <w:marTop w:val="0"/>
          <w:marBottom w:val="0"/>
          <w:divBdr>
            <w:top w:val="none" w:sz="0" w:space="0" w:color="auto"/>
            <w:left w:val="none" w:sz="0" w:space="0" w:color="auto"/>
            <w:bottom w:val="none" w:sz="0" w:space="0" w:color="auto"/>
            <w:right w:val="none" w:sz="0" w:space="0" w:color="auto"/>
          </w:divBdr>
        </w:div>
        <w:div w:id="1528836683">
          <w:marLeft w:val="0"/>
          <w:marRight w:val="0"/>
          <w:marTop w:val="0"/>
          <w:marBottom w:val="0"/>
          <w:divBdr>
            <w:top w:val="none" w:sz="0" w:space="0" w:color="auto"/>
            <w:left w:val="none" w:sz="0" w:space="0" w:color="auto"/>
            <w:bottom w:val="none" w:sz="0" w:space="0" w:color="auto"/>
            <w:right w:val="none" w:sz="0" w:space="0" w:color="auto"/>
          </w:divBdr>
        </w:div>
        <w:div w:id="2044746451">
          <w:marLeft w:val="0"/>
          <w:marRight w:val="0"/>
          <w:marTop w:val="0"/>
          <w:marBottom w:val="0"/>
          <w:divBdr>
            <w:top w:val="none" w:sz="0" w:space="0" w:color="auto"/>
            <w:left w:val="none" w:sz="0" w:space="0" w:color="auto"/>
            <w:bottom w:val="none" w:sz="0" w:space="0" w:color="auto"/>
            <w:right w:val="none" w:sz="0" w:space="0" w:color="auto"/>
          </w:divBdr>
        </w:div>
        <w:div w:id="2065176653">
          <w:marLeft w:val="0"/>
          <w:marRight w:val="0"/>
          <w:marTop w:val="0"/>
          <w:marBottom w:val="0"/>
          <w:divBdr>
            <w:top w:val="none" w:sz="0" w:space="0" w:color="auto"/>
            <w:left w:val="none" w:sz="0" w:space="0" w:color="auto"/>
            <w:bottom w:val="none" w:sz="0" w:space="0" w:color="auto"/>
            <w:right w:val="none" w:sz="0" w:space="0" w:color="auto"/>
          </w:divBdr>
        </w:div>
        <w:div w:id="1260061386">
          <w:marLeft w:val="0"/>
          <w:marRight w:val="0"/>
          <w:marTop w:val="0"/>
          <w:marBottom w:val="0"/>
          <w:divBdr>
            <w:top w:val="none" w:sz="0" w:space="0" w:color="auto"/>
            <w:left w:val="none" w:sz="0" w:space="0" w:color="auto"/>
            <w:bottom w:val="none" w:sz="0" w:space="0" w:color="auto"/>
            <w:right w:val="none" w:sz="0" w:space="0" w:color="auto"/>
          </w:divBdr>
        </w:div>
        <w:div w:id="412438878">
          <w:marLeft w:val="0"/>
          <w:marRight w:val="0"/>
          <w:marTop w:val="0"/>
          <w:marBottom w:val="0"/>
          <w:divBdr>
            <w:top w:val="none" w:sz="0" w:space="0" w:color="auto"/>
            <w:left w:val="none" w:sz="0" w:space="0" w:color="auto"/>
            <w:bottom w:val="none" w:sz="0" w:space="0" w:color="auto"/>
            <w:right w:val="none" w:sz="0" w:space="0" w:color="auto"/>
          </w:divBdr>
        </w:div>
      </w:divsChild>
    </w:div>
    <w:div w:id="599025872">
      <w:bodyDiv w:val="1"/>
      <w:marLeft w:val="0"/>
      <w:marRight w:val="0"/>
      <w:marTop w:val="0"/>
      <w:marBottom w:val="0"/>
      <w:divBdr>
        <w:top w:val="none" w:sz="0" w:space="0" w:color="auto"/>
        <w:left w:val="none" w:sz="0" w:space="0" w:color="auto"/>
        <w:bottom w:val="none" w:sz="0" w:space="0" w:color="auto"/>
        <w:right w:val="none" w:sz="0" w:space="0" w:color="auto"/>
      </w:divBdr>
    </w:div>
    <w:div w:id="624315584">
      <w:bodyDiv w:val="1"/>
      <w:marLeft w:val="0"/>
      <w:marRight w:val="0"/>
      <w:marTop w:val="0"/>
      <w:marBottom w:val="0"/>
      <w:divBdr>
        <w:top w:val="none" w:sz="0" w:space="0" w:color="auto"/>
        <w:left w:val="none" w:sz="0" w:space="0" w:color="auto"/>
        <w:bottom w:val="none" w:sz="0" w:space="0" w:color="auto"/>
        <w:right w:val="none" w:sz="0" w:space="0" w:color="auto"/>
      </w:divBdr>
    </w:div>
    <w:div w:id="640113395">
      <w:bodyDiv w:val="1"/>
      <w:marLeft w:val="0"/>
      <w:marRight w:val="0"/>
      <w:marTop w:val="0"/>
      <w:marBottom w:val="0"/>
      <w:divBdr>
        <w:top w:val="none" w:sz="0" w:space="0" w:color="auto"/>
        <w:left w:val="none" w:sz="0" w:space="0" w:color="auto"/>
        <w:bottom w:val="none" w:sz="0" w:space="0" w:color="auto"/>
        <w:right w:val="none" w:sz="0" w:space="0" w:color="auto"/>
      </w:divBdr>
    </w:div>
    <w:div w:id="692002188">
      <w:bodyDiv w:val="1"/>
      <w:marLeft w:val="0"/>
      <w:marRight w:val="0"/>
      <w:marTop w:val="0"/>
      <w:marBottom w:val="0"/>
      <w:divBdr>
        <w:top w:val="none" w:sz="0" w:space="0" w:color="auto"/>
        <w:left w:val="none" w:sz="0" w:space="0" w:color="auto"/>
        <w:bottom w:val="none" w:sz="0" w:space="0" w:color="auto"/>
        <w:right w:val="none" w:sz="0" w:space="0" w:color="auto"/>
      </w:divBdr>
      <w:divsChild>
        <w:div w:id="1929532672">
          <w:marLeft w:val="0"/>
          <w:marRight w:val="0"/>
          <w:marTop w:val="0"/>
          <w:marBottom w:val="0"/>
          <w:divBdr>
            <w:top w:val="none" w:sz="0" w:space="0" w:color="auto"/>
            <w:left w:val="none" w:sz="0" w:space="0" w:color="auto"/>
            <w:bottom w:val="none" w:sz="0" w:space="0" w:color="auto"/>
            <w:right w:val="none" w:sz="0" w:space="0" w:color="auto"/>
          </w:divBdr>
        </w:div>
        <w:div w:id="46803849">
          <w:marLeft w:val="0"/>
          <w:marRight w:val="0"/>
          <w:marTop w:val="0"/>
          <w:marBottom w:val="0"/>
          <w:divBdr>
            <w:top w:val="none" w:sz="0" w:space="0" w:color="auto"/>
            <w:left w:val="none" w:sz="0" w:space="0" w:color="auto"/>
            <w:bottom w:val="none" w:sz="0" w:space="0" w:color="auto"/>
            <w:right w:val="none" w:sz="0" w:space="0" w:color="auto"/>
          </w:divBdr>
        </w:div>
        <w:div w:id="1105230940">
          <w:marLeft w:val="0"/>
          <w:marRight w:val="0"/>
          <w:marTop w:val="0"/>
          <w:marBottom w:val="0"/>
          <w:divBdr>
            <w:top w:val="none" w:sz="0" w:space="0" w:color="auto"/>
            <w:left w:val="none" w:sz="0" w:space="0" w:color="auto"/>
            <w:bottom w:val="none" w:sz="0" w:space="0" w:color="auto"/>
            <w:right w:val="none" w:sz="0" w:space="0" w:color="auto"/>
          </w:divBdr>
        </w:div>
        <w:div w:id="59452667">
          <w:marLeft w:val="0"/>
          <w:marRight w:val="0"/>
          <w:marTop w:val="0"/>
          <w:marBottom w:val="0"/>
          <w:divBdr>
            <w:top w:val="none" w:sz="0" w:space="0" w:color="auto"/>
            <w:left w:val="none" w:sz="0" w:space="0" w:color="auto"/>
            <w:bottom w:val="none" w:sz="0" w:space="0" w:color="auto"/>
            <w:right w:val="none" w:sz="0" w:space="0" w:color="auto"/>
          </w:divBdr>
        </w:div>
        <w:div w:id="682980656">
          <w:marLeft w:val="0"/>
          <w:marRight w:val="0"/>
          <w:marTop w:val="0"/>
          <w:marBottom w:val="0"/>
          <w:divBdr>
            <w:top w:val="none" w:sz="0" w:space="0" w:color="auto"/>
            <w:left w:val="none" w:sz="0" w:space="0" w:color="auto"/>
            <w:bottom w:val="none" w:sz="0" w:space="0" w:color="auto"/>
            <w:right w:val="none" w:sz="0" w:space="0" w:color="auto"/>
          </w:divBdr>
        </w:div>
        <w:div w:id="1707488923">
          <w:marLeft w:val="0"/>
          <w:marRight w:val="0"/>
          <w:marTop w:val="0"/>
          <w:marBottom w:val="0"/>
          <w:divBdr>
            <w:top w:val="none" w:sz="0" w:space="0" w:color="auto"/>
            <w:left w:val="none" w:sz="0" w:space="0" w:color="auto"/>
            <w:bottom w:val="none" w:sz="0" w:space="0" w:color="auto"/>
            <w:right w:val="none" w:sz="0" w:space="0" w:color="auto"/>
          </w:divBdr>
        </w:div>
        <w:div w:id="1875771720">
          <w:marLeft w:val="0"/>
          <w:marRight w:val="0"/>
          <w:marTop w:val="0"/>
          <w:marBottom w:val="0"/>
          <w:divBdr>
            <w:top w:val="none" w:sz="0" w:space="0" w:color="auto"/>
            <w:left w:val="none" w:sz="0" w:space="0" w:color="auto"/>
            <w:bottom w:val="none" w:sz="0" w:space="0" w:color="auto"/>
            <w:right w:val="none" w:sz="0" w:space="0" w:color="auto"/>
          </w:divBdr>
        </w:div>
        <w:div w:id="651520583">
          <w:marLeft w:val="0"/>
          <w:marRight w:val="0"/>
          <w:marTop w:val="0"/>
          <w:marBottom w:val="0"/>
          <w:divBdr>
            <w:top w:val="none" w:sz="0" w:space="0" w:color="auto"/>
            <w:left w:val="none" w:sz="0" w:space="0" w:color="auto"/>
            <w:bottom w:val="none" w:sz="0" w:space="0" w:color="auto"/>
            <w:right w:val="none" w:sz="0" w:space="0" w:color="auto"/>
          </w:divBdr>
        </w:div>
        <w:div w:id="1348558381">
          <w:marLeft w:val="0"/>
          <w:marRight w:val="0"/>
          <w:marTop w:val="0"/>
          <w:marBottom w:val="0"/>
          <w:divBdr>
            <w:top w:val="none" w:sz="0" w:space="0" w:color="auto"/>
            <w:left w:val="none" w:sz="0" w:space="0" w:color="auto"/>
            <w:bottom w:val="none" w:sz="0" w:space="0" w:color="auto"/>
            <w:right w:val="none" w:sz="0" w:space="0" w:color="auto"/>
          </w:divBdr>
        </w:div>
        <w:div w:id="316540675">
          <w:marLeft w:val="0"/>
          <w:marRight w:val="0"/>
          <w:marTop w:val="0"/>
          <w:marBottom w:val="0"/>
          <w:divBdr>
            <w:top w:val="none" w:sz="0" w:space="0" w:color="auto"/>
            <w:left w:val="none" w:sz="0" w:space="0" w:color="auto"/>
            <w:bottom w:val="none" w:sz="0" w:space="0" w:color="auto"/>
            <w:right w:val="none" w:sz="0" w:space="0" w:color="auto"/>
          </w:divBdr>
        </w:div>
        <w:div w:id="378938908">
          <w:marLeft w:val="0"/>
          <w:marRight w:val="0"/>
          <w:marTop w:val="0"/>
          <w:marBottom w:val="0"/>
          <w:divBdr>
            <w:top w:val="none" w:sz="0" w:space="0" w:color="auto"/>
            <w:left w:val="none" w:sz="0" w:space="0" w:color="auto"/>
            <w:bottom w:val="none" w:sz="0" w:space="0" w:color="auto"/>
            <w:right w:val="none" w:sz="0" w:space="0" w:color="auto"/>
          </w:divBdr>
        </w:div>
        <w:div w:id="24600605">
          <w:marLeft w:val="0"/>
          <w:marRight w:val="0"/>
          <w:marTop w:val="0"/>
          <w:marBottom w:val="0"/>
          <w:divBdr>
            <w:top w:val="none" w:sz="0" w:space="0" w:color="auto"/>
            <w:left w:val="none" w:sz="0" w:space="0" w:color="auto"/>
            <w:bottom w:val="none" w:sz="0" w:space="0" w:color="auto"/>
            <w:right w:val="none" w:sz="0" w:space="0" w:color="auto"/>
          </w:divBdr>
        </w:div>
        <w:div w:id="1710371339">
          <w:marLeft w:val="0"/>
          <w:marRight w:val="0"/>
          <w:marTop w:val="0"/>
          <w:marBottom w:val="0"/>
          <w:divBdr>
            <w:top w:val="none" w:sz="0" w:space="0" w:color="auto"/>
            <w:left w:val="none" w:sz="0" w:space="0" w:color="auto"/>
            <w:bottom w:val="none" w:sz="0" w:space="0" w:color="auto"/>
            <w:right w:val="none" w:sz="0" w:space="0" w:color="auto"/>
          </w:divBdr>
        </w:div>
        <w:div w:id="1922329109">
          <w:marLeft w:val="0"/>
          <w:marRight w:val="0"/>
          <w:marTop w:val="0"/>
          <w:marBottom w:val="0"/>
          <w:divBdr>
            <w:top w:val="none" w:sz="0" w:space="0" w:color="auto"/>
            <w:left w:val="none" w:sz="0" w:space="0" w:color="auto"/>
            <w:bottom w:val="none" w:sz="0" w:space="0" w:color="auto"/>
            <w:right w:val="none" w:sz="0" w:space="0" w:color="auto"/>
          </w:divBdr>
        </w:div>
        <w:div w:id="1622151162">
          <w:marLeft w:val="0"/>
          <w:marRight w:val="0"/>
          <w:marTop w:val="0"/>
          <w:marBottom w:val="0"/>
          <w:divBdr>
            <w:top w:val="none" w:sz="0" w:space="0" w:color="auto"/>
            <w:left w:val="none" w:sz="0" w:space="0" w:color="auto"/>
            <w:bottom w:val="none" w:sz="0" w:space="0" w:color="auto"/>
            <w:right w:val="none" w:sz="0" w:space="0" w:color="auto"/>
          </w:divBdr>
        </w:div>
        <w:div w:id="1671105035">
          <w:marLeft w:val="0"/>
          <w:marRight w:val="0"/>
          <w:marTop w:val="0"/>
          <w:marBottom w:val="0"/>
          <w:divBdr>
            <w:top w:val="none" w:sz="0" w:space="0" w:color="auto"/>
            <w:left w:val="none" w:sz="0" w:space="0" w:color="auto"/>
            <w:bottom w:val="none" w:sz="0" w:space="0" w:color="auto"/>
            <w:right w:val="none" w:sz="0" w:space="0" w:color="auto"/>
          </w:divBdr>
        </w:div>
        <w:div w:id="1123577515">
          <w:marLeft w:val="0"/>
          <w:marRight w:val="0"/>
          <w:marTop w:val="0"/>
          <w:marBottom w:val="0"/>
          <w:divBdr>
            <w:top w:val="none" w:sz="0" w:space="0" w:color="auto"/>
            <w:left w:val="none" w:sz="0" w:space="0" w:color="auto"/>
            <w:bottom w:val="none" w:sz="0" w:space="0" w:color="auto"/>
            <w:right w:val="none" w:sz="0" w:space="0" w:color="auto"/>
          </w:divBdr>
        </w:div>
        <w:div w:id="1370834706">
          <w:marLeft w:val="0"/>
          <w:marRight w:val="0"/>
          <w:marTop w:val="0"/>
          <w:marBottom w:val="0"/>
          <w:divBdr>
            <w:top w:val="none" w:sz="0" w:space="0" w:color="auto"/>
            <w:left w:val="none" w:sz="0" w:space="0" w:color="auto"/>
            <w:bottom w:val="none" w:sz="0" w:space="0" w:color="auto"/>
            <w:right w:val="none" w:sz="0" w:space="0" w:color="auto"/>
          </w:divBdr>
        </w:div>
        <w:div w:id="181893521">
          <w:marLeft w:val="0"/>
          <w:marRight w:val="0"/>
          <w:marTop w:val="0"/>
          <w:marBottom w:val="0"/>
          <w:divBdr>
            <w:top w:val="none" w:sz="0" w:space="0" w:color="auto"/>
            <w:left w:val="none" w:sz="0" w:space="0" w:color="auto"/>
            <w:bottom w:val="none" w:sz="0" w:space="0" w:color="auto"/>
            <w:right w:val="none" w:sz="0" w:space="0" w:color="auto"/>
          </w:divBdr>
        </w:div>
        <w:div w:id="1442217521">
          <w:marLeft w:val="0"/>
          <w:marRight w:val="0"/>
          <w:marTop w:val="0"/>
          <w:marBottom w:val="0"/>
          <w:divBdr>
            <w:top w:val="none" w:sz="0" w:space="0" w:color="auto"/>
            <w:left w:val="none" w:sz="0" w:space="0" w:color="auto"/>
            <w:bottom w:val="none" w:sz="0" w:space="0" w:color="auto"/>
            <w:right w:val="none" w:sz="0" w:space="0" w:color="auto"/>
          </w:divBdr>
        </w:div>
        <w:div w:id="1031537822">
          <w:marLeft w:val="0"/>
          <w:marRight w:val="0"/>
          <w:marTop w:val="0"/>
          <w:marBottom w:val="0"/>
          <w:divBdr>
            <w:top w:val="none" w:sz="0" w:space="0" w:color="auto"/>
            <w:left w:val="none" w:sz="0" w:space="0" w:color="auto"/>
            <w:bottom w:val="none" w:sz="0" w:space="0" w:color="auto"/>
            <w:right w:val="none" w:sz="0" w:space="0" w:color="auto"/>
          </w:divBdr>
        </w:div>
      </w:divsChild>
    </w:div>
    <w:div w:id="773482947">
      <w:bodyDiv w:val="1"/>
      <w:marLeft w:val="0"/>
      <w:marRight w:val="0"/>
      <w:marTop w:val="0"/>
      <w:marBottom w:val="0"/>
      <w:divBdr>
        <w:top w:val="none" w:sz="0" w:space="0" w:color="auto"/>
        <w:left w:val="none" w:sz="0" w:space="0" w:color="auto"/>
        <w:bottom w:val="none" w:sz="0" w:space="0" w:color="auto"/>
        <w:right w:val="none" w:sz="0" w:space="0" w:color="auto"/>
      </w:divBdr>
      <w:divsChild>
        <w:div w:id="408580357">
          <w:marLeft w:val="0"/>
          <w:marRight w:val="0"/>
          <w:marTop w:val="0"/>
          <w:marBottom w:val="0"/>
          <w:divBdr>
            <w:top w:val="none" w:sz="0" w:space="0" w:color="auto"/>
            <w:left w:val="none" w:sz="0" w:space="0" w:color="auto"/>
            <w:bottom w:val="none" w:sz="0" w:space="0" w:color="auto"/>
            <w:right w:val="none" w:sz="0" w:space="0" w:color="auto"/>
          </w:divBdr>
        </w:div>
        <w:div w:id="1947303053">
          <w:marLeft w:val="0"/>
          <w:marRight w:val="0"/>
          <w:marTop w:val="0"/>
          <w:marBottom w:val="0"/>
          <w:divBdr>
            <w:top w:val="none" w:sz="0" w:space="0" w:color="auto"/>
            <w:left w:val="none" w:sz="0" w:space="0" w:color="auto"/>
            <w:bottom w:val="none" w:sz="0" w:space="0" w:color="auto"/>
            <w:right w:val="none" w:sz="0" w:space="0" w:color="auto"/>
          </w:divBdr>
        </w:div>
        <w:div w:id="1203060526">
          <w:marLeft w:val="0"/>
          <w:marRight w:val="0"/>
          <w:marTop w:val="0"/>
          <w:marBottom w:val="0"/>
          <w:divBdr>
            <w:top w:val="none" w:sz="0" w:space="0" w:color="auto"/>
            <w:left w:val="none" w:sz="0" w:space="0" w:color="auto"/>
            <w:bottom w:val="none" w:sz="0" w:space="0" w:color="auto"/>
            <w:right w:val="none" w:sz="0" w:space="0" w:color="auto"/>
          </w:divBdr>
        </w:div>
        <w:div w:id="1528911615">
          <w:marLeft w:val="0"/>
          <w:marRight w:val="0"/>
          <w:marTop w:val="0"/>
          <w:marBottom w:val="0"/>
          <w:divBdr>
            <w:top w:val="none" w:sz="0" w:space="0" w:color="auto"/>
            <w:left w:val="none" w:sz="0" w:space="0" w:color="auto"/>
            <w:bottom w:val="none" w:sz="0" w:space="0" w:color="auto"/>
            <w:right w:val="none" w:sz="0" w:space="0" w:color="auto"/>
          </w:divBdr>
        </w:div>
        <w:div w:id="379133396">
          <w:marLeft w:val="0"/>
          <w:marRight w:val="0"/>
          <w:marTop w:val="0"/>
          <w:marBottom w:val="0"/>
          <w:divBdr>
            <w:top w:val="none" w:sz="0" w:space="0" w:color="auto"/>
            <w:left w:val="none" w:sz="0" w:space="0" w:color="auto"/>
            <w:bottom w:val="none" w:sz="0" w:space="0" w:color="auto"/>
            <w:right w:val="none" w:sz="0" w:space="0" w:color="auto"/>
          </w:divBdr>
        </w:div>
        <w:div w:id="1543008410">
          <w:marLeft w:val="0"/>
          <w:marRight w:val="0"/>
          <w:marTop w:val="0"/>
          <w:marBottom w:val="0"/>
          <w:divBdr>
            <w:top w:val="none" w:sz="0" w:space="0" w:color="auto"/>
            <w:left w:val="none" w:sz="0" w:space="0" w:color="auto"/>
            <w:bottom w:val="none" w:sz="0" w:space="0" w:color="auto"/>
            <w:right w:val="none" w:sz="0" w:space="0" w:color="auto"/>
          </w:divBdr>
        </w:div>
        <w:div w:id="2056930286">
          <w:marLeft w:val="0"/>
          <w:marRight w:val="0"/>
          <w:marTop w:val="0"/>
          <w:marBottom w:val="0"/>
          <w:divBdr>
            <w:top w:val="none" w:sz="0" w:space="0" w:color="auto"/>
            <w:left w:val="none" w:sz="0" w:space="0" w:color="auto"/>
            <w:bottom w:val="none" w:sz="0" w:space="0" w:color="auto"/>
            <w:right w:val="none" w:sz="0" w:space="0" w:color="auto"/>
          </w:divBdr>
        </w:div>
        <w:div w:id="393090303">
          <w:marLeft w:val="0"/>
          <w:marRight w:val="0"/>
          <w:marTop w:val="0"/>
          <w:marBottom w:val="0"/>
          <w:divBdr>
            <w:top w:val="none" w:sz="0" w:space="0" w:color="auto"/>
            <w:left w:val="none" w:sz="0" w:space="0" w:color="auto"/>
            <w:bottom w:val="none" w:sz="0" w:space="0" w:color="auto"/>
            <w:right w:val="none" w:sz="0" w:space="0" w:color="auto"/>
          </w:divBdr>
        </w:div>
        <w:div w:id="401681274">
          <w:marLeft w:val="0"/>
          <w:marRight w:val="0"/>
          <w:marTop w:val="0"/>
          <w:marBottom w:val="0"/>
          <w:divBdr>
            <w:top w:val="none" w:sz="0" w:space="0" w:color="auto"/>
            <w:left w:val="none" w:sz="0" w:space="0" w:color="auto"/>
            <w:bottom w:val="none" w:sz="0" w:space="0" w:color="auto"/>
            <w:right w:val="none" w:sz="0" w:space="0" w:color="auto"/>
          </w:divBdr>
        </w:div>
        <w:div w:id="2116051508">
          <w:marLeft w:val="0"/>
          <w:marRight w:val="0"/>
          <w:marTop w:val="0"/>
          <w:marBottom w:val="0"/>
          <w:divBdr>
            <w:top w:val="none" w:sz="0" w:space="0" w:color="auto"/>
            <w:left w:val="none" w:sz="0" w:space="0" w:color="auto"/>
            <w:bottom w:val="none" w:sz="0" w:space="0" w:color="auto"/>
            <w:right w:val="none" w:sz="0" w:space="0" w:color="auto"/>
          </w:divBdr>
        </w:div>
        <w:div w:id="231695555">
          <w:marLeft w:val="0"/>
          <w:marRight w:val="0"/>
          <w:marTop w:val="0"/>
          <w:marBottom w:val="0"/>
          <w:divBdr>
            <w:top w:val="none" w:sz="0" w:space="0" w:color="auto"/>
            <w:left w:val="none" w:sz="0" w:space="0" w:color="auto"/>
            <w:bottom w:val="none" w:sz="0" w:space="0" w:color="auto"/>
            <w:right w:val="none" w:sz="0" w:space="0" w:color="auto"/>
          </w:divBdr>
        </w:div>
        <w:div w:id="1030640537">
          <w:marLeft w:val="0"/>
          <w:marRight w:val="0"/>
          <w:marTop w:val="0"/>
          <w:marBottom w:val="0"/>
          <w:divBdr>
            <w:top w:val="none" w:sz="0" w:space="0" w:color="auto"/>
            <w:left w:val="none" w:sz="0" w:space="0" w:color="auto"/>
            <w:bottom w:val="none" w:sz="0" w:space="0" w:color="auto"/>
            <w:right w:val="none" w:sz="0" w:space="0" w:color="auto"/>
          </w:divBdr>
        </w:div>
        <w:div w:id="859313951">
          <w:marLeft w:val="0"/>
          <w:marRight w:val="0"/>
          <w:marTop w:val="0"/>
          <w:marBottom w:val="0"/>
          <w:divBdr>
            <w:top w:val="none" w:sz="0" w:space="0" w:color="auto"/>
            <w:left w:val="none" w:sz="0" w:space="0" w:color="auto"/>
            <w:bottom w:val="none" w:sz="0" w:space="0" w:color="auto"/>
            <w:right w:val="none" w:sz="0" w:space="0" w:color="auto"/>
          </w:divBdr>
        </w:div>
        <w:div w:id="230847827">
          <w:marLeft w:val="0"/>
          <w:marRight w:val="0"/>
          <w:marTop w:val="0"/>
          <w:marBottom w:val="0"/>
          <w:divBdr>
            <w:top w:val="none" w:sz="0" w:space="0" w:color="auto"/>
            <w:left w:val="none" w:sz="0" w:space="0" w:color="auto"/>
            <w:bottom w:val="none" w:sz="0" w:space="0" w:color="auto"/>
            <w:right w:val="none" w:sz="0" w:space="0" w:color="auto"/>
          </w:divBdr>
        </w:div>
        <w:div w:id="301814979">
          <w:marLeft w:val="0"/>
          <w:marRight w:val="0"/>
          <w:marTop w:val="0"/>
          <w:marBottom w:val="0"/>
          <w:divBdr>
            <w:top w:val="none" w:sz="0" w:space="0" w:color="auto"/>
            <w:left w:val="none" w:sz="0" w:space="0" w:color="auto"/>
            <w:bottom w:val="none" w:sz="0" w:space="0" w:color="auto"/>
            <w:right w:val="none" w:sz="0" w:space="0" w:color="auto"/>
          </w:divBdr>
        </w:div>
        <w:div w:id="1859611939">
          <w:marLeft w:val="0"/>
          <w:marRight w:val="0"/>
          <w:marTop w:val="0"/>
          <w:marBottom w:val="0"/>
          <w:divBdr>
            <w:top w:val="none" w:sz="0" w:space="0" w:color="auto"/>
            <w:left w:val="none" w:sz="0" w:space="0" w:color="auto"/>
            <w:bottom w:val="none" w:sz="0" w:space="0" w:color="auto"/>
            <w:right w:val="none" w:sz="0" w:space="0" w:color="auto"/>
          </w:divBdr>
        </w:div>
        <w:div w:id="194077267">
          <w:marLeft w:val="0"/>
          <w:marRight w:val="0"/>
          <w:marTop w:val="0"/>
          <w:marBottom w:val="0"/>
          <w:divBdr>
            <w:top w:val="none" w:sz="0" w:space="0" w:color="auto"/>
            <w:left w:val="none" w:sz="0" w:space="0" w:color="auto"/>
            <w:bottom w:val="none" w:sz="0" w:space="0" w:color="auto"/>
            <w:right w:val="none" w:sz="0" w:space="0" w:color="auto"/>
          </w:divBdr>
        </w:div>
        <w:div w:id="725227345">
          <w:marLeft w:val="0"/>
          <w:marRight w:val="0"/>
          <w:marTop w:val="0"/>
          <w:marBottom w:val="0"/>
          <w:divBdr>
            <w:top w:val="none" w:sz="0" w:space="0" w:color="auto"/>
            <w:left w:val="none" w:sz="0" w:space="0" w:color="auto"/>
            <w:bottom w:val="none" w:sz="0" w:space="0" w:color="auto"/>
            <w:right w:val="none" w:sz="0" w:space="0" w:color="auto"/>
          </w:divBdr>
        </w:div>
        <w:div w:id="275990461">
          <w:marLeft w:val="0"/>
          <w:marRight w:val="0"/>
          <w:marTop w:val="0"/>
          <w:marBottom w:val="0"/>
          <w:divBdr>
            <w:top w:val="none" w:sz="0" w:space="0" w:color="auto"/>
            <w:left w:val="none" w:sz="0" w:space="0" w:color="auto"/>
            <w:bottom w:val="none" w:sz="0" w:space="0" w:color="auto"/>
            <w:right w:val="none" w:sz="0" w:space="0" w:color="auto"/>
          </w:divBdr>
        </w:div>
        <w:div w:id="1133136629">
          <w:marLeft w:val="0"/>
          <w:marRight w:val="0"/>
          <w:marTop w:val="0"/>
          <w:marBottom w:val="0"/>
          <w:divBdr>
            <w:top w:val="none" w:sz="0" w:space="0" w:color="auto"/>
            <w:left w:val="none" w:sz="0" w:space="0" w:color="auto"/>
            <w:bottom w:val="none" w:sz="0" w:space="0" w:color="auto"/>
            <w:right w:val="none" w:sz="0" w:space="0" w:color="auto"/>
          </w:divBdr>
        </w:div>
        <w:div w:id="1101410168">
          <w:marLeft w:val="0"/>
          <w:marRight w:val="0"/>
          <w:marTop w:val="0"/>
          <w:marBottom w:val="0"/>
          <w:divBdr>
            <w:top w:val="none" w:sz="0" w:space="0" w:color="auto"/>
            <w:left w:val="none" w:sz="0" w:space="0" w:color="auto"/>
            <w:bottom w:val="none" w:sz="0" w:space="0" w:color="auto"/>
            <w:right w:val="none" w:sz="0" w:space="0" w:color="auto"/>
          </w:divBdr>
        </w:div>
        <w:div w:id="688530226">
          <w:marLeft w:val="0"/>
          <w:marRight w:val="0"/>
          <w:marTop w:val="0"/>
          <w:marBottom w:val="0"/>
          <w:divBdr>
            <w:top w:val="none" w:sz="0" w:space="0" w:color="auto"/>
            <w:left w:val="none" w:sz="0" w:space="0" w:color="auto"/>
            <w:bottom w:val="none" w:sz="0" w:space="0" w:color="auto"/>
            <w:right w:val="none" w:sz="0" w:space="0" w:color="auto"/>
          </w:divBdr>
        </w:div>
        <w:div w:id="1454786390">
          <w:marLeft w:val="0"/>
          <w:marRight w:val="0"/>
          <w:marTop w:val="0"/>
          <w:marBottom w:val="0"/>
          <w:divBdr>
            <w:top w:val="none" w:sz="0" w:space="0" w:color="auto"/>
            <w:left w:val="none" w:sz="0" w:space="0" w:color="auto"/>
            <w:bottom w:val="none" w:sz="0" w:space="0" w:color="auto"/>
            <w:right w:val="none" w:sz="0" w:space="0" w:color="auto"/>
          </w:divBdr>
        </w:div>
        <w:div w:id="1133403777">
          <w:marLeft w:val="0"/>
          <w:marRight w:val="0"/>
          <w:marTop w:val="0"/>
          <w:marBottom w:val="0"/>
          <w:divBdr>
            <w:top w:val="none" w:sz="0" w:space="0" w:color="auto"/>
            <w:left w:val="none" w:sz="0" w:space="0" w:color="auto"/>
            <w:bottom w:val="none" w:sz="0" w:space="0" w:color="auto"/>
            <w:right w:val="none" w:sz="0" w:space="0" w:color="auto"/>
          </w:divBdr>
        </w:div>
        <w:div w:id="732046601">
          <w:marLeft w:val="0"/>
          <w:marRight w:val="0"/>
          <w:marTop w:val="0"/>
          <w:marBottom w:val="0"/>
          <w:divBdr>
            <w:top w:val="none" w:sz="0" w:space="0" w:color="auto"/>
            <w:left w:val="none" w:sz="0" w:space="0" w:color="auto"/>
            <w:bottom w:val="none" w:sz="0" w:space="0" w:color="auto"/>
            <w:right w:val="none" w:sz="0" w:space="0" w:color="auto"/>
          </w:divBdr>
        </w:div>
        <w:div w:id="1267543485">
          <w:marLeft w:val="0"/>
          <w:marRight w:val="0"/>
          <w:marTop w:val="0"/>
          <w:marBottom w:val="0"/>
          <w:divBdr>
            <w:top w:val="none" w:sz="0" w:space="0" w:color="auto"/>
            <w:left w:val="none" w:sz="0" w:space="0" w:color="auto"/>
            <w:bottom w:val="none" w:sz="0" w:space="0" w:color="auto"/>
            <w:right w:val="none" w:sz="0" w:space="0" w:color="auto"/>
          </w:divBdr>
        </w:div>
      </w:divsChild>
    </w:div>
    <w:div w:id="781799565">
      <w:bodyDiv w:val="1"/>
      <w:marLeft w:val="0"/>
      <w:marRight w:val="0"/>
      <w:marTop w:val="0"/>
      <w:marBottom w:val="0"/>
      <w:divBdr>
        <w:top w:val="none" w:sz="0" w:space="0" w:color="auto"/>
        <w:left w:val="none" w:sz="0" w:space="0" w:color="auto"/>
        <w:bottom w:val="none" w:sz="0" w:space="0" w:color="auto"/>
        <w:right w:val="none" w:sz="0" w:space="0" w:color="auto"/>
      </w:divBdr>
    </w:div>
    <w:div w:id="846600006">
      <w:bodyDiv w:val="1"/>
      <w:marLeft w:val="0"/>
      <w:marRight w:val="0"/>
      <w:marTop w:val="0"/>
      <w:marBottom w:val="0"/>
      <w:divBdr>
        <w:top w:val="none" w:sz="0" w:space="0" w:color="auto"/>
        <w:left w:val="none" w:sz="0" w:space="0" w:color="auto"/>
        <w:bottom w:val="none" w:sz="0" w:space="0" w:color="auto"/>
        <w:right w:val="none" w:sz="0" w:space="0" w:color="auto"/>
      </w:divBdr>
    </w:div>
    <w:div w:id="901211825">
      <w:bodyDiv w:val="1"/>
      <w:marLeft w:val="0"/>
      <w:marRight w:val="0"/>
      <w:marTop w:val="0"/>
      <w:marBottom w:val="0"/>
      <w:divBdr>
        <w:top w:val="none" w:sz="0" w:space="0" w:color="auto"/>
        <w:left w:val="none" w:sz="0" w:space="0" w:color="auto"/>
        <w:bottom w:val="none" w:sz="0" w:space="0" w:color="auto"/>
        <w:right w:val="none" w:sz="0" w:space="0" w:color="auto"/>
      </w:divBdr>
      <w:divsChild>
        <w:div w:id="562451181">
          <w:marLeft w:val="0"/>
          <w:marRight w:val="0"/>
          <w:marTop w:val="0"/>
          <w:marBottom w:val="0"/>
          <w:divBdr>
            <w:top w:val="none" w:sz="0" w:space="0" w:color="auto"/>
            <w:left w:val="none" w:sz="0" w:space="0" w:color="auto"/>
            <w:bottom w:val="none" w:sz="0" w:space="0" w:color="auto"/>
            <w:right w:val="none" w:sz="0" w:space="0" w:color="auto"/>
          </w:divBdr>
        </w:div>
        <w:div w:id="1933661298">
          <w:marLeft w:val="0"/>
          <w:marRight w:val="0"/>
          <w:marTop w:val="0"/>
          <w:marBottom w:val="0"/>
          <w:divBdr>
            <w:top w:val="none" w:sz="0" w:space="0" w:color="auto"/>
            <w:left w:val="none" w:sz="0" w:space="0" w:color="auto"/>
            <w:bottom w:val="none" w:sz="0" w:space="0" w:color="auto"/>
            <w:right w:val="none" w:sz="0" w:space="0" w:color="auto"/>
          </w:divBdr>
        </w:div>
        <w:div w:id="695665580">
          <w:marLeft w:val="0"/>
          <w:marRight w:val="0"/>
          <w:marTop w:val="0"/>
          <w:marBottom w:val="0"/>
          <w:divBdr>
            <w:top w:val="none" w:sz="0" w:space="0" w:color="auto"/>
            <w:left w:val="none" w:sz="0" w:space="0" w:color="auto"/>
            <w:bottom w:val="none" w:sz="0" w:space="0" w:color="auto"/>
            <w:right w:val="none" w:sz="0" w:space="0" w:color="auto"/>
          </w:divBdr>
        </w:div>
        <w:div w:id="1493597189">
          <w:marLeft w:val="0"/>
          <w:marRight w:val="0"/>
          <w:marTop w:val="0"/>
          <w:marBottom w:val="0"/>
          <w:divBdr>
            <w:top w:val="none" w:sz="0" w:space="0" w:color="auto"/>
            <w:left w:val="none" w:sz="0" w:space="0" w:color="auto"/>
            <w:bottom w:val="none" w:sz="0" w:space="0" w:color="auto"/>
            <w:right w:val="none" w:sz="0" w:space="0" w:color="auto"/>
          </w:divBdr>
        </w:div>
        <w:div w:id="2058427466">
          <w:marLeft w:val="0"/>
          <w:marRight w:val="0"/>
          <w:marTop w:val="0"/>
          <w:marBottom w:val="0"/>
          <w:divBdr>
            <w:top w:val="none" w:sz="0" w:space="0" w:color="auto"/>
            <w:left w:val="none" w:sz="0" w:space="0" w:color="auto"/>
            <w:bottom w:val="none" w:sz="0" w:space="0" w:color="auto"/>
            <w:right w:val="none" w:sz="0" w:space="0" w:color="auto"/>
          </w:divBdr>
        </w:div>
        <w:div w:id="1637103223">
          <w:marLeft w:val="0"/>
          <w:marRight w:val="0"/>
          <w:marTop w:val="0"/>
          <w:marBottom w:val="0"/>
          <w:divBdr>
            <w:top w:val="none" w:sz="0" w:space="0" w:color="auto"/>
            <w:left w:val="none" w:sz="0" w:space="0" w:color="auto"/>
            <w:bottom w:val="none" w:sz="0" w:space="0" w:color="auto"/>
            <w:right w:val="none" w:sz="0" w:space="0" w:color="auto"/>
          </w:divBdr>
        </w:div>
        <w:div w:id="124085654">
          <w:marLeft w:val="0"/>
          <w:marRight w:val="0"/>
          <w:marTop w:val="0"/>
          <w:marBottom w:val="0"/>
          <w:divBdr>
            <w:top w:val="none" w:sz="0" w:space="0" w:color="auto"/>
            <w:left w:val="none" w:sz="0" w:space="0" w:color="auto"/>
            <w:bottom w:val="none" w:sz="0" w:space="0" w:color="auto"/>
            <w:right w:val="none" w:sz="0" w:space="0" w:color="auto"/>
          </w:divBdr>
        </w:div>
        <w:div w:id="1662780814">
          <w:marLeft w:val="0"/>
          <w:marRight w:val="0"/>
          <w:marTop w:val="0"/>
          <w:marBottom w:val="0"/>
          <w:divBdr>
            <w:top w:val="none" w:sz="0" w:space="0" w:color="auto"/>
            <w:left w:val="none" w:sz="0" w:space="0" w:color="auto"/>
            <w:bottom w:val="none" w:sz="0" w:space="0" w:color="auto"/>
            <w:right w:val="none" w:sz="0" w:space="0" w:color="auto"/>
          </w:divBdr>
        </w:div>
        <w:div w:id="685982300">
          <w:marLeft w:val="0"/>
          <w:marRight w:val="0"/>
          <w:marTop w:val="0"/>
          <w:marBottom w:val="0"/>
          <w:divBdr>
            <w:top w:val="none" w:sz="0" w:space="0" w:color="auto"/>
            <w:left w:val="none" w:sz="0" w:space="0" w:color="auto"/>
            <w:bottom w:val="none" w:sz="0" w:space="0" w:color="auto"/>
            <w:right w:val="none" w:sz="0" w:space="0" w:color="auto"/>
          </w:divBdr>
        </w:div>
        <w:div w:id="1806466577">
          <w:marLeft w:val="0"/>
          <w:marRight w:val="0"/>
          <w:marTop w:val="0"/>
          <w:marBottom w:val="0"/>
          <w:divBdr>
            <w:top w:val="none" w:sz="0" w:space="0" w:color="auto"/>
            <w:left w:val="none" w:sz="0" w:space="0" w:color="auto"/>
            <w:bottom w:val="none" w:sz="0" w:space="0" w:color="auto"/>
            <w:right w:val="none" w:sz="0" w:space="0" w:color="auto"/>
          </w:divBdr>
        </w:div>
        <w:div w:id="2126148439">
          <w:marLeft w:val="0"/>
          <w:marRight w:val="0"/>
          <w:marTop w:val="0"/>
          <w:marBottom w:val="0"/>
          <w:divBdr>
            <w:top w:val="none" w:sz="0" w:space="0" w:color="auto"/>
            <w:left w:val="none" w:sz="0" w:space="0" w:color="auto"/>
            <w:bottom w:val="none" w:sz="0" w:space="0" w:color="auto"/>
            <w:right w:val="none" w:sz="0" w:space="0" w:color="auto"/>
          </w:divBdr>
        </w:div>
        <w:div w:id="2045671863">
          <w:marLeft w:val="0"/>
          <w:marRight w:val="0"/>
          <w:marTop w:val="0"/>
          <w:marBottom w:val="0"/>
          <w:divBdr>
            <w:top w:val="none" w:sz="0" w:space="0" w:color="auto"/>
            <w:left w:val="none" w:sz="0" w:space="0" w:color="auto"/>
            <w:bottom w:val="none" w:sz="0" w:space="0" w:color="auto"/>
            <w:right w:val="none" w:sz="0" w:space="0" w:color="auto"/>
          </w:divBdr>
        </w:div>
        <w:div w:id="252469544">
          <w:marLeft w:val="0"/>
          <w:marRight w:val="0"/>
          <w:marTop w:val="0"/>
          <w:marBottom w:val="0"/>
          <w:divBdr>
            <w:top w:val="none" w:sz="0" w:space="0" w:color="auto"/>
            <w:left w:val="none" w:sz="0" w:space="0" w:color="auto"/>
            <w:bottom w:val="none" w:sz="0" w:space="0" w:color="auto"/>
            <w:right w:val="none" w:sz="0" w:space="0" w:color="auto"/>
          </w:divBdr>
        </w:div>
        <w:div w:id="1833376974">
          <w:marLeft w:val="0"/>
          <w:marRight w:val="0"/>
          <w:marTop w:val="0"/>
          <w:marBottom w:val="0"/>
          <w:divBdr>
            <w:top w:val="none" w:sz="0" w:space="0" w:color="auto"/>
            <w:left w:val="none" w:sz="0" w:space="0" w:color="auto"/>
            <w:bottom w:val="none" w:sz="0" w:space="0" w:color="auto"/>
            <w:right w:val="none" w:sz="0" w:space="0" w:color="auto"/>
          </w:divBdr>
        </w:div>
        <w:div w:id="701588432">
          <w:marLeft w:val="0"/>
          <w:marRight w:val="0"/>
          <w:marTop w:val="0"/>
          <w:marBottom w:val="0"/>
          <w:divBdr>
            <w:top w:val="none" w:sz="0" w:space="0" w:color="auto"/>
            <w:left w:val="none" w:sz="0" w:space="0" w:color="auto"/>
            <w:bottom w:val="none" w:sz="0" w:space="0" w:color="auto"/>
            <w:right w:val="none" w:sz="0" w:space="0" w:color="auto"/>
          </w:divBdr>
        </w:div>
        <w:div w:id="1489980618">
          <w:marLeft w:val="0"/>
          <w:marRight w:val="0"/>
          <w:marTop w:val="0"/>
          <w:marBottom w:val="0"/>
          <w:divBdr>
            <w:top w:val="none" w:sz="0" w:space="0" w:color="auto"/>
            <w:left w:val="none" w:sz="0" w:space="0" w:color="auto"/>
            <w:bottom w:val="none" w:sz="0" w:space="0" w:color="auto"/>
            <w:right w:val="none" w:sz="0" w:space="0" w:color="auto"/>
          </w:divBdr>
        </w:div>
        <w:div w:id="2003703822">
          <w:marLeft w:val="0"/>
          <w:marRight w:val="0"/>
          <w:marTop w:val="0"/>
          <w:marBottom w:val="0"/>
          <w:divBdr>
            <w:top w:val="none" w:sz="0" w:space="0" w:color="auto"/>
            <w:left w:val="none" w:sz="0" w:space="0" w:color="auto"/>
            <w:bottom w:val="none" w:sz="0" w:space="0" w:color="auto"/>
            <w:right w:val="none" w:sz="0" w:space="0" w:color="auto"/>
          </w:divBdr>
        </w:div>
        <w:div w:id="1306818927">
          <w:marLeft w:val="0"/>
          <w:marRight w:val="0"/>
          <w:marTop w:val="0"/>
          <w:marBottom w:val="0"/>
          <w:divBdr>
            <w:top w:val="none" w:sz="0" w:space="0" w:color="auto"/>
            <w:left w:val="none" w:sz="0" w:space="0" w:color="auto"/>
            <w:bottom w:val="none" w:sz="0" w:space="0" w:color="auto"/>
            <w:right w:val="none" w:sz="0" w:space="0" w:color="auto"/>
          </w:divBdr>
        </w:div>
        <w:div w:id="1398632087">
          <w:marLeft w:val="0"/>
          <w:marRight w:val="0"/>
          <w:marTop w:val="0"/>
          <w:marBottom w:val="0"/>
          <w:divBdr>
            <w:top w:val="none" w:sz="0" w:space="0" w:color="auto"/>
            <w:left w:val="none" w:sz="0" w:space="0" w:color="auto"/>
            <w:bottom w:val="none" w:sz="0" w:space="0" w:color="auto"/>
            <w:right w:val="none" w:sz="0" w:space="0" w:color="auto"/>
          </w:divBdr>
        </w:div>
      </w:divsChild>
    </w:div>
    <w:div w:id="1044719428">
      <w:bodyDiv w:val="1"/>
      <w:marLeft w:val="0"/>
      <w:marRight w:val="0"/>
      <w:marTop w:val="0"/>
      <w:marBottom w:val="0"/>
      <w:divBdr>
        <w:top w:val="none" w:sz="0" w:space="0" w:color="auto"/>
        <w:left w:val="none" w:sz="0" w:space="0" w:color="auto"/>
        <w:bottom w:val="none" w:sz="0" w:space="0" w:color="auto"/>
        <w:right w:val="none" w:sz="0" w:space="0" w:color="auto"/>
      </w:divBdr>
    </w:div>
    <w:div w:id="1144659902">
      <w:bodyDiv w:val="1"/>
      <w:marLeft w:val="0"/>
      <w:marRight w:val="0"/>
      <w:marTop w:val="0"/>
      <w:marBottom w:val="0"/>
      <w:divBdr>
        <w:top w:val="none" w:sz="0" w:space="0" w:color="auto"/>
        <w:left w:val="none" w:sz="0" w:space="0" w:color="auto"/>
        <w:bottom w:val="none" w:sz="0" w:space="0" w:color="auto"/>
        <w:right w:val="none" w:sz="0" w:space="0" w:color="auto"/>
      </w:divBdr>
      <w:divsChild>
        <w:div w:id="1882743324">
          <w:marLeft w:val="0"/>
          <w:marRight w:val="0"/>
          <w:marTop w:val="0"/>
          <w:marBottom w:val="0"/>
          <w:divBdr>
            <w:top w:val="none" w:sz="0" w:space="0" w:color="auto"/>
            <w:left w:val="none" w:sz="0" w:space="0" w:color="auto"/>
            <w:bottom w:val="none" w:sz="0" w:space="0" w:color="auto"/>
            <w:right w:val="none" w:sz="0" w:space="0" w:color="auto"/>
          </w:divBdr>
        </w:div>
        <w:div w:id="1972007016">
          <w:marLeft w:val="0"/>
          <w:marRight w:val="0"/>
          <w:marTop w:val="0"/>
          <w:marBottom w:val="0"/>
          <w:divBdr>
            <w:top w:val="none" w:sz="0" w:space="0" w:color="auto"/>
            <w:left w:val="none" w:sz="0" w:space="0" w:color="auto"/>
            <w:bottom w:val="none" w:sz="0" w:space="0" w:color="auto"/>
            <w:right w:val="none" w:sz="0" w:space="0" w:color="auto"/>
          </w:divBdr>
        </w:div>
        <w:div w:id="37169890">
          <w:marLeft w:val="0"/>
          <w:marRight w:val="0"/>
          <w:marTop w:val="0"/>
          <w:marBottom w:val="0"/>
          <w:divBdr>
            <w:top w:val="none" w:sz="0" w:space="0" w:color="auto"/>
            <w:left w:val="none" w:sz="0" w:space="0" w:color="auto"/>
            <w:bottom w:val="none" w:sz="0" w:space="0" w:color="auto"/>
            <w:right w:val="none" w:sz="0" w:space="0" w:color="auto"/>
          </w:divBdr>
        </w:div>
        <w:div w:id="789057579">
          <w:marLeft w:val="0"/>
          <w:marRight w:val="0"/>
          <w:marTop w:val="0"/>
          <w:marBottom w:val="0"/>
          <w:divBdr>
            <w:top w:val="none" w:sz="0" w:space="0" w:color="auto"/>
            <w:left w:val="none" w:sz="0" w:space="0" w:color="auto"/>
            <w:bottom w:val="none" w:sz="0" w:space="0" w:color="auto"/>
            <w:right w:val="none" w:sz="0" w:space="0" w:color="auto"/>
          </w:divBdr>
        </w:div>
        <w:div w:id="1533575094">
          <w:marLeft w:val="0"/>
          <w:marRight w:val="0"/>
          <w:marTop w:val="0"/>
          <w:marBottom w:val="0"/>
          <w:divBdr>
            <w:top w:val="none" w:sz="0" w:space="0" w:color="auto"/>
            <w:left w:val="none" w:sz="0" w:space="0" w:color="auto"/>
            <w:bottom w:val="none" w:sz="0" w:space="0" w:color="auto"/>
            <w:right w:val="none" w:sz="0" w:space="0" w:color="auto"/>
          </w:divBdr>
        </w:div>
        <w:div w:id="366835387">
          <w:marLeft w:val="0"/>
          <w:marRight w:val="0"/>
          <w:marTop w:val="0"/>
          <w:marBottom w:val="0"/>
          <w:divBdr>
            <w:top w:val="none" w:sz="0" w:space="0" w:color="auto"/>
            <w:left w:val="none" w:sz="0" w:space="0" w:color="auto"/>
            <w:bottom w:val="none" w:sz="0" w:space="0" w:color="auto"/>
            <w:right w:val="none" w:sz="0" w:space="0" w:color="auto"/>
          </w:divBdr>
        </w:div>
        <w:div w:id="515075586">
          <w:marLeft w:val="0"/>
          <w:marRight w:val="0"/>
          <w:marTop w:val="0"/>
          <w:marBottom w:val="0"/>
          <w:divBdr>
            <w:top w:val="none" w:sz="0" w:space="0" w:color="auto"/>
            <w:left w:val="none" w:sz="0" w:space="0" w:color="auto"/>
            <w:bottom w:val="none" w:sz="0" w:space="0" w:color="auto"/>
            <w:right w:val="none" w:sz="0" w:space="0" w:color="auto"/>
          </w:divBdr>
        </w:div>
        <w:div w:id="1872719371">
          <w:marLeft w:val="0"/>
          <w:marRight w:val="0"/>
          <w:marTop w:val="0"/>
          <w:marBottom w:val="0"/>
          <w:divBdr>
            <w:top w:val="none" w:sz="0" w:space="0" w:color="auto"/>
            <w:left w:val="none" w:sz="0" w:space="0" w:color="auto"/>
            <w:bottom w:val="none" w:sz="0" w:space="0" w:color="auto"/>
            <w:right w:val="none" w:sz="0" w:space="0" w:color="auto"/>
          </w:divBdr>
        </w:div>
        <w:div w:id="1181773203">
          <w:marLeft w:val="0"/>
          <w:marRight w:val="0"/>
          <w:marTop w:val="0"/>
          <w:marBottom w:val="0"/>
          <w:divBdr>
            <w:top w:val="none" w:sz="0" w:space="0" w:color="auto"/>
            <w:left w:val="none" w:sz="0" w:space="0" w:color="auto"/>
            <w:bottom w:val="none" w:sz="0" w:space="0" w:color="auto"/>
            <w:right w:val="none" w:sz="0" w:space="0" w:color="auto"/>
          </w:divBdr>
        </w:div>
        <w:div w:id="1440952252">
          <w:marLeft w:val="0"/>
          <w:marRight w:val="0"/>
          <w:marTop w:val="0"/>
          <w:marBottom w:val="0"/>
          <w:divBdr>
            <w:top w:val="none" w:sz="0" w:space="0" w:color="auto"/>
            <w:left w:val="none" w:sz="0" w:space="0" w:color="auto"/>
            <w:bottom w:val="none" w:sz="0" w:space="0" w:color="auto"/>
            <w:right w:val="none" w:sz="0" w:space="0" w:color="auto"/>
          </w:divBdr>
        </w:div>
        <w:div w:id="1228154497">
          <w:marLeft w:val="0"/>
          <w:marRight w:val="0"/>
          <w:marTop w:val="0"/>
          <w:marBottom w:val="0"/>
          <w:divBdr>
            <w:top w:val="none" w:sz="0" w:space="0" w:color="auto"/>
            <w:left w:val="none" w:sz="0" w:space="0" w:color="auto"/>
            <w:bottom w:val="none" w:sz="0" w:space="0" w:color="auto"/>
            <w:right w:val="none" w:sz="0" w:space="0" w:color="auto"/>
          </w:divBdr>
        </w:div>
        <w:div w:id="1007555114">
          <w:marLeft w:val="0"/>
          <w:marRight w:val="0"/>
          <w:marTop w:val="0"/>
          <w:marBottom w:val="0"/>
          <w:divBdr>
            <w:top w:val="none" w:sz="0" w:space="0" w:color="auto"/>
            <w:left w:val="none" w:sz="0" w:space="0" w:color="auto"/>
            <w:bottom w:val="none" w:sz="0" w:space="0" w:color="auto"/>
            <w:right w:val="none" w:sz="0" w:space="0" w:color="auto"/>
          </w:divBdr>
        </w:div>
        <w:div w:id="1723671795">
          <w:marLeft w:val="0"/>
          <w:marRight w:val="0"/>
          <w:marTop w:val="0"/>
          <w:marBottom w:val="0"/>
          <w:divBdr>
            <w:top w:val="none" w:sz="0" w:space="0" w:color="auto"/>
            <w:left w:val="none" w:sz="0" w:space="0" w:color="auto"/>
            <w:bottom w:val="none" w:sz="0" w:space="0" w:color="auto"/>
            <w:right w:val="none" w:sz="0" w:space="0" w:color="auto"/>
          </w:divBdr>
        </w:div>
        <w:div w:id="148905678">
          <w:marLeft w:val="0"/>
          <w:marRight w:val="0"/>
          <w:marTop w:val="0"/>
          <w:marBottom w:val="0"/>
          <w:divBdr>
            <w:top w:val="none" w:sz="0" w:space="0" w:color="auto"/>
            <w:left w:val="none" w:sz="0" w:space="0" w:color="auto"/>
            <w:bottom w:val="none" w:sz="0" w:space="0" w:color="auto"/>
            <w:right w:val="none" w:sz="0" w:space="0" w:color="auto"/>
          </w:divBdr>
        </w:div>
        <w:div w:id="1552837904">
          <w:marLeft w:val="0"/>
          <w:marRight w:val="0"/>
          <w:marTop w:val="0"/>
          <w:marBottom w:val="0"/>
          <w:divBdr>
            <w:top w:val="none" w:sz="0" w:space="0" w:color="auto"/>
            <w:left w:val="none" w:sz="0" w:space="0" w:color="auto"/>
            <w:bottom w:val="none" w:sz="0" w:space="0" w:color="auto"/>
            <w:right w:val="none" w:sz="0" w:space="0" w:color="auto"/>
          </w:divBdr>
        </w:div>
        <w:div w:id="525943135">
          <w:marLeft w:val="0"/>
          <w:marRight w:val="0"/>
          <w:marTop w:val="0"/>
          <w:marBottom w:val="0"/>
          <w:divBdr>
            <w:top w:val="none" w:sz="0" w:space="0" w:color="auto"/>
            <w:left w:val="none" w:sz="0" w:space="0" w:color="auto"/>
            <w:bottom w:val="none" w:sz="0" w:space="0" w:color="auto"/>
            <w:right w:val="none" w:sz="0" w:space="0" w:color="auto"/>
          </w:divBdr>
        </w:div>
        <w:div w:id="2023848377">
          <w:marLeft w:val="0"/>
          <w:marRight w:val="0"/>
          <w:marTop w:val="0"/>
          <w:marBottom w:val="0"/>
          <w:divBdr>
            <w:top w:val="none" w:sz="0" w:space="0" w:color="auto"/>
            <w:left w:val="none" w:sz="0" w:space="0" w:color="auto"/>
            <w:bottom w:val="none" w:sz="0" w:space="0" w:color="auto"/>
            <w:right w:val="none" w:sz="0" w:space="0" w:color="auto"/>
          </w:divBdr>
        </w:div>
        <w:div w:id="1395616841">
          <w:marLeft w:val="0"/>
          <w:marRight w:val="0"/>
          <w:marTop w:val="0"/>
          <w:marBottom w:val="0"/>
          <w:divBdr>
            <w:top w:val="none" w:sz="0" w:space="0" w:color="auto"/>
            <w:left w:val="none" w:sz="0" w:space="0" w:color="auto"/>
            <w:bottom w:val="none" w:sz="0" w:space="0" w:color="auto"/>
            <w:right w:val="none" w:sz="0" w:space="0" w:color="auto"/>
          </w:divBdr>
        </w:div>
        <w:div w:id="1333993278">
          <w:marLeft w:val="0"/>
          <w:marRight w:val="0"/>
          <w:marTop w:val="0"/>
          <w:marBottom w:val="0"/>
          <w:divBdr>
            <w:top w:val="none" w:sz="0" w:space="0" w:color="auto"/>
            <w:left w:val="none" w:sz="0" w:space="0" w:color="auto"/>
            <w:bottom w:val="none" w:sz="0" w:space="0" w:color="auto"/>
            <w:right w:val="none" w:sz="0" w:space="0" w:color="auto"/>
          </w:divBdr>
        </w:div>
        <w:div w:id="293143510">
          <w:marLeft w:val="0"/>
          <w:marRight w:val="0"/>
          <w:marTop w:val="0"/>
          <w:marBottom w:val="0"/>
          <w:divBdr>
            <w:top w:val="none" w:sz="0" w:space="0" w:color="auto"/>
            <w:left w:val="none" w:sz="0" w:space="0" w:color="auto"/>
            <w:bottom w:val="none" w:sz="0" w:space="0" w:color="auto"/>
            <w:right w:val="none" w:sz="0" w:space="0" w:color="auto"/>
          </w:divBdr>
        </w:div>
        <w:div w:id="887762144">
          <w:marLeft w:val="0"/>
          <w:marRight w:val="0"/>
          <w:marTop w:val="0"/>
          <w:marBottom w:val="0"/>
          <w:divBdr>
            <w:top w:val="none" w:sz="0" w:space="0" w:color="auto"/>
            <w:left w:val="none" w:sz="0" w:space="0" w:color="auto"/>
            <w:bottom w:val="none" w:sz="0" w:space="0" w:color="auto"/>
            <w:right w:val="none" w:sz="0" w:space="0" w:color="auto"/>
          </w:divBdr>
        </w:div>
        <w:div w:id="683089951">
          <w:marLeft w:val="0"/>
          <w:marRight w:val="0"/>
          <w:marTop w:val="0"/>
          <w:marBottom w:val="0"/>
          <w:divBdr>
            <w:top w:val="none" w:sz="0" w:space="0" w:color="auto"/>
            <w:left w:val="none" w:sz="0" w:space="0" w:color="auto"/>
            <w:bottom w:val="none" w:sz="0" w:space="0" w:color="auto"/>
            <w:right w:val="none" w:sz="0" w:space="0" w:color="auto"/>
          </w:divBdr>
        </w:div>
      </w:divsChild>
    </w:div>
    <w:div w:id="1151630499">
      <w:bodyDiv w:val="1"/>
      <w:marLeft w:val="0"/>
      <w:marRight w:val="0"/>
      <w:marTop w:val="0"/>
      <w:marBottom w:val="0"/>
      <w:divBdr>
        <w:top w:val="none" w:sz="0" w:space="0" w:color="auto"/>
        <w:left w:val="none" w:sz="0" w:space="0" w:color="auto"/>
        <w:bottom w:val="none" w:sz="0" w:space="0" w:color="auto"/>
        <w:right w:val="none" w:sz="0" w:space="0" w:color="auto"/>
      </w:divBdr>
      <w:divsChild>
        <w:div w:id="1247610478">
          <w:marLeft w:val="0"/>
          <w:marRight w:val="0"/>
          <w:marTop w:val="0"/>
          <w:marBottom w:val="0"/>
          <w:divBdr>
            <w:top w:val="none" w:sz="0" w:space="0" w:color="auto"/>
            <w:left w:val="none" w:sz="0" w:space="0" w:color="auto"/>
            <w:bottom w:val="none" w:sz="0" w:space="0" w:color="auto"/>
            <w:right w:val="none" w:sz="0" w:space="0" w:color="auto"/>
          </w:divBdr>
        </w:div>
        <w:div w:id="892931131">
          <w:marLeft w:val="0"/>
          <w:marRight w:val="0"/>
          <w:marTop w:val="0"/>
          <w:marBottom w:val="0"/>
          <w:divBdr>
            <w:top w:val="none" w:sz="0" w:space="0" w:color="auto"/>
            <w:left w:val="none" w:sz="0" w:space="0" w:color="auto"/>
            <w:bottom w:val="none" w:sz="0" w:space="0" w:color="auto"/>
            <w:right w:val="none" w:sz="0" w:space="0" w:color="auto"/>
          </w:divBdr>
        </w:div>
        <w:div w:id="1252355618">
          <w:marLeft w:val="0"/>
          <w:marRight w:val="0"/>
          <w:marTop w:val="0"/>
          <w:marBottom w:val="0"/>
          <w:divBdr>
            <w:top w:val="none" w:sz="0" w:space="0" w:color="auto"/>
            <w:left w:val="none" w:sz="0" w:space="0" w:color="auto"/>
            <w:bottom w:val="none" w:sz="0" w:space="0" w:color="auto"/>
            <w:right w:val="none" w:sz="0" w:space="0" w:color="auto"/>
          </w:divBdr>
        </w:div>
        <w:div w:id="717365379">
          <w:marLeft w:val="0"/>
          <w:marRight w:val="0"/>
          <w:marTop w:val="0"/>
          <w:marBottom w:val="0"/>
          <w:divBdr>
            <w:top w:val="none" w:sz="0" w:space="0" w:color="auto"/>
            <w:left w:val="none" w:sz="0" w:space="0" w:color="auto"/>
            <w:bottom w:val="none" w:sz="0" w:space="0" w:color="auto"/>
            <w:right w:val="none" w:sz="0" w:space="0" w:color="auto"/>
          </w:divBdr>
        </w:div>
        <w:div w:id="1225334836">
          <w:marLeft w:val="0"/>
          <w:marRight w:val="0"/>
          <w:marTop w:val="0"/>
          <w:marBottom w:val="0"/>
          <w:divBdr>
            <w:top w:val="none" w:sz="0" w:space="0" w:color="auto"/>
            <w:left w:val="none" w:sz="0" w:space="0" w:color="auto"/>
            <w:bottom w:val="none" w:sz="0" w:space="0" w:color="auto"/>
            <w:right w:val="none" w:sz="0" w:space="0" w:color="auto"/>
          </w:divBdr>
        </w:div>
        <w:div w:id="2092003171">
          <w:marLeft w:val="0"/>
          <w:marRight w:val="0"/>
          <w:marTop w:val="0"/>
          <w:marBottom w:val="0"/>
          <w:divBdr>
            <w:top w:val="none" w:sz="0" w:space="0" w:color="auto"/>
            <w:left w:val="none" w:sz="0" w:space="0" w:color="auto"/>
            <w:bottom w:val="none" w:sz="0" w:space="0" w:color="auto"/>
            <w:right w:val="none" w:sz="0" w:space="0" w:color="auto"/>
          </w:divBdr>
        </w:div>
        <w:div w:id="1574661923">
          <w:marLeft w:val="0"/>
          <w:marRight w:val="0"/>
          <w:marTop w:val="0"/>
          <w:marBottom w:val="0"/>
          <w:divBdr>
            <w:top w:val="none" w:sz="0" w:space="0" w:color="auto"/>
            <w:left w:val="none" w:sz="0" w:space="0" w:color="auto"/>
            <w:bottom w:val="none" w:sz="0" w:space="0" w:color="auto"/>
            <w:right w:val="none" w:sz="0" w:space="0" w:color="auto"/>
          </w:divBdr>
        </w:div>
        <w:div w:id="793446576">
          <w:marLeft w:val="0"/>
          <w:marRight w:val="0"/>
          <w:marTop w:val="0"/>
          <w:marBottom w:val="0"/>
          <w:divBdr>
            <w:top w:val="none" w:sz="0" w:space="0" w:color="auto"/>
            <w:left w:val="none" w:sz="0" w:space="0" w:color="auto"/>
            <w:bottom w:val="none" w:sz="0" w:space="0" w:color="auto"/>
            <w:right w:val="none" w:sz="0" w:space="0" w:color="auto"/>
          </w:divBdr>
        </w:div>
        <w:div w:id="1143698653">
          <w:marLeft w:val="0"/>
          <w:marRight w:val="0"/>
          <w:marTop w:val="0"/>
          <w:marBottom w:val="0"/>
          <w:divBdr>
            <w:top w:val="none" w:sz="0" w:space="0" w:color="auto"/>
            <w:left w:val="none" w:sz="0" w:space="0" w:color="auto"/>
            <w:bottom w:val="none" w:sz="0" w:space="0" w:color="auto"/>
            <w:right w:val="none" w:sz="0" w:space="0" w:color="auto"/>
          </w:divBdr>
        </w:div>
        <w:div w:id="2043825584">
          <w:marLeft w:val="0"/>
          <w:marRight w:val="0"/>
          <w:marTop w:val="0"/>
          <w:marBottom w:val="0"/>
          <w:divBdr>
            <w:top w:val="none" w:sz="0" w:space="0" w:color="auto"/>
            <w:left w:val="none" w:sz="0" w:space="0" w:color="auto"/>
            <w:bottom w:val="none" w:sz="0" w:space="0" w:color="auto"/>
            <w:right w:val="none" w:sz="0" w:space="0" w:color="auto"/>
          </w:divBdr>
        </w:div>
        <w:div w:id="1727139268">
          <w:marLeft w:val="0"/>
          <w:marRight w:val="0"/>
          <w:marTop w:val="0"/>
          <w:marBottom w:val="0"/>
          <w:divBdr>
            <w:top w:val="none" w:sz="0" w:space="0" w:color="auto"/>
            <w:left w:val="none" w:sz="0" w:space="0" w:color="auto"/>
            <w:bottom w:val="none" w:sz="0" w:space="0" w:color="auto"/>
            <w:right w:val="none" w:sz="0" w:space="0" w:color="auto"/>
          </w:divBdr>
        </w:div>
        <w:div w:id="850530705">
          <w:marLeft w:val="0"/>
          <w:marRight w:val="0"/>
          <w:marTop w:val="0"/>
          <w:marBottom w:val="0"/>
          <w:divBdr>
            <w:top w:val="none" w:sz="0" w:space="0" w:color="auto"/>
            <w:left w:val="none" w:sz="0" w:space="0" w:color="auto"/>
            <w:bottom w:val="none" w:sz="0" w:space="0" w:color="auto"/>
            <w:right w:val="none" w:sz="0" w:space="0" w:color="auto"/>
          </w:divBdr>
        </w:div>
        <w:div w:id="1869567732">
          <w:marLeft w:val="0"/>
          <w:marRight w:val="0"/>
          <w:marTop w:val="0"/>
          <w:marBottom w:val="0"/>
          <w:divBdr>
            <w:top w:val="none" w:sz="0" w:space="0" w:color="auto"/>
            <w:left w:val="none" w:sz="0" w:space="0" w:color="auto"/>
            <w:bottom w:val="none" w:sz="0" w:space="0" w:color="auto"/>
            <w:right w:val="none" w:sz="0" w:space="0" w:color="auto"/>
          </w:divBdr>
        </w:div>
        <w:div w:id="2016613146">
          <w:marLeft w:val="0"/>
          <w:marRight w:val="0"/>
          <w:marTop w:val="0"/>
          <w:marBottom w:val="0"/>
          <w:divBdr>
            <w:top w:val="none" w:sz="0" w:space="0" w:color="auto"/>
            <w:left w:val="none" w:sz="0" w:space="0" w:color="auto"/>
            <w:bottom w:val="none" w:sz="0" w:space="0" w:color="auto"/>
            <w:right w:val="none" w:sz="0" w:space="0" w:color="auto"/>
          </w:divBdr>
        </w:div>
        <w:div w:id="1471363157">
          <w:marLeft w:val="0"/>
          <w:marRight w:val="0"/>
          <w:marTop w:val="0"/>
          <w:marBottom w:val="0"/>
          <w:divBdr>
            <w:top w:val="none" w:sz="0" w:space="0" w:color="auto"/>
            <w:left w:val="none" w:sz="0" w:space="0" w:color="auto"/>
            <w:bottom w:val="none" w:sz="0" w:space="0" w:color="auto"/>
            <w:right w:val="none" w:sz="0" w:space="0" w:color="auto"/>
          </w:divBdr>
        </w:div>
        <w:div w:id="908274506">
          <w:marLeft w:val="0"/>
          <w:marRight w:val="0"/>
          <w:marTop w:val="0"/>
          <w:marBottom w:val="0"/>
          <w:divBdr>
            <w:top w:val="none" w:sz="0" w:space="0" w:color="auto"/>
            <w:left w:val="none" w:sz="0" w:space="0" w:color="auto"/>
            <w:bottom w:val="none" w:sz="0" w:space="0" w:color="auto"/>
            <w:right w:val="none" w:sz="0" w:space="0" w:color="auto"/>
          </w:divBdr>
        </w:div>
        <w:div w:id="1478918076">
          <w:marLeft w:val="0"/>
          <w:marRight w:val="0"/>
          <w:marTop w:val="0"/>
          <w:marBottom w:val="0"/>
          <w:divBdr>
            <w:top w:val="none" w:sz="0" w:space="0" w:color="auto"/>
            <w:left w:val="none" w:sz="0" w:space="0" w:color="auto"/>
            <w:bottom w:val="none" w:sz="0" w:space="0" w:color="auto"/>
            <w:right w:val="none" w:sz="0" w:space="0" w:color="auto"/>
          </w:divBdr>
        </w:div>
        <w:div w:id="1977560840">
          <w:marLeft w:val="0"/>
          <w:marRight w:val="0"/>
          <w:marTop w:val="0"/>
          <w:marBottom w:val="0"/>
          <w:divBdr>
            <w:top w:val="none" w:sz="0" w:space="0" w:color="auto"/>
            <w:left w:val="none" w:sz="0" w:space="0" w:color="auto"/>
            <w:bottom w:val="none" w:sz="0" w:space="0" w:color="auto"/>
            <w:right w:val="none" w:sz="0" w:space="0" w:color="auto"/>
          </w:divBdr>
        </w:div>
        <w:div w:id="1709453488">
          <w:marLeft w:val="0"/>
          <w:marRight w:val="0"/>
          <w:marTop w:val="0"/>
          <w:marBottom w:val="0"/>
          <w:divBdr>
            <w:top w:val="none" w:sz="0" w:space="0" w:color="auto"/>
            <w:left w:val="none" w:sz="0" w:space="0" w:color="auto"/>
            <w:bottom w:val="none" w:sz="0" w:space="0" w:color="auto"/>
            <w:right w:val="none" w:sz="0" w:space="0" w:color="auto"/>
          </w:divBdr>
        </w:div>
        <w:div w:id="1846357450">
          <w:marLeft w:val="0"/>
          <w:marRight w:val="0"/>
          <w:marTop w:val="0"/>
          <w:marBottom w:val="0"/>
          <w:divBdr>
            <w:top w:val="none" w:sz="0" w:space="0" w:color="auto"/>
            <w:left w:val="none" w:sz="0" w:space="0" w:color="auto"/>
            <w:bottom w:val="none" w:sz="0" w:space="0" w:color="auto"/>
            <w:right w:val="none" w:sz="0" w:space="0" w:color="auto"/>
          </w:divBdr>
        </w:div>
      </w:divsChild>
    </w:div>
    <w:div w:id="1168322825">
      <w:bodyDiv w:val="1"/>
      <w:marLeft w:val="0"/>
      <w:marRight w:val="0"/>
      <w:marTop w:val="0"/>
      <w:marBottom w:val="0"/>
      <w:divBdr>
        <w:top w:val="none" w:sz="0" w:space="0" w:color="auto"/>
        <w:left w:val="none" w:sz="0" w:space="0" w:color="auto"/>
        <w:bottom w:val="none" w:sz="0" w:space="0" w:color="auto"/>
        <w:right w:val="none" w:sz="0" w:space="0" w:color="auto"/>
      </w:divBdr>
    </w:div>
    <w:div w:id="1200625727">
      <w:bodyDiv w:val="1"/>
      <w:marLeft w:val="0"/>
      <w:marRight w:val="0"/>
      <w:marTop w:val="0"/>
      <w:marBottom w:val="0"/>
      <w:divBdr>
        <w:top w:val="none" w:sz="0" w:space="0" w:color="auto"/>
        <w:left w:val="none" w:sz="0" w:space="0" w:color="auto"/>
        <w:bottom w:val="none" w:sz="0" w:space="0" w:color="auto"/>
        <w:right w:val="none" w:sz="0" w:space="0" w:color="auto"/>
      </w:divBdr>
      <w:divsChild>
        <w:div w:id="617486577">
          <w:marLeft w:val="0"/>
          <w:marRight w:val="0"/>
          <w:marTop w:val="0"/>
          <w:marBottom w:val="0"/>
          <w:divBdr>
            <w:top w:val="none" w:sz="0" w:space="0" w:color="auto"/>
            <w:left w:val="none" w:sz="0" w:space="0" w:color="auto"/>
            <w:bottom w:val="none" w:sz="0" w:space="0" w:color="auto"/>
            <w:right w:val="none" w:sz="0" w:space="0" w:color="auto"/>
          </w:divBdr>
        </w:div>
        <w:div w:id="1833253119">
          <w:marLeft w:val="0"/>
          <w:marRight w:val="0"/>
          <w:marTop w:val="0"/>
          <w:marBottom w:val="0"/>
          <w:divBdr>
            <w:top w:val="none" w:sz="0" w:space="0" w:color="auto"/>
            <w:left w:val="none" w:sz="0" w:space="0" w:color="auto"/>
            <w:bottom w:val="none" w:sz="0" w:space="0" w:color="auto"/>
            <w:right w:val="none" w:sz="0" w:space="0" w:color="auto"/>
          </w:divBdr>
        </w:div>
        <w:div w:id="344016676">
          <w:marLeft w:val="0"/>
          <w:marRight w:val="0"/>
          <w:marTop w:val="0"/>
          <w:marBottom w:val="0"/>
          <w:divBdr>
            <w:top w:val="none" w:sz="0" w:space="0" w:color="auto"/>
            <w:left w:val="none" w:sz="0" w:space="0" w:color="auto"/>
            <w:bottom w:val="none" w:sz="0" w:space="0" w:color="auto"/>
            <w:right w:val="none" w:sz="0" w:space="0" w:color="auto"/>
          </w:divBdr>
        </w:div>
        <w:div w:id="1305739289">
          <w:marLeft w:val="0"/>
          <w:marRight w:val="0"/>
          <w:marTop w:val="0"/>
          <w:marBottom w:val="0"/>
          <w:divBdr>
            <w:top w:val="none" w:sz="0" w:space="0" w:color="auto"/>
            <w:left w:val="none" w:sz="0" w:space="0" w:color="auto"/>
            <w:bottom w:val="none" w:sz="0" w:space="0" w:color="auto"/>
            <w:right w:val="none" w:sz="0" w:space="0" w:color="auto"/>
          </w:divBdr>
        </w:div>
        <w:div w:id="993526002">
          <w:marLeft w:val="0"/>
          <w:marRight w:val="0"/>
          <w:marTop w:val="0"/>
          <w:marBottom w:val="0"/>
          <w:divBdr>
            <w:top w:val="none" w:sz="0" w:space="0" w:color="auto"/>
            <w:left w:val="none" w:sz="0" w:space="0" w:color="auto"/>
            <w:bottom w:val="none" w:sz="0" w:space="0" w:color="auto"/>
            <w:right w:val="none" w:sz="0" w:space="0" w:color="auto"/>
          </w:divBdr>
        </w:div>
        <w:div w:id="985205132">
          <w:marLeft w:val="0"/>
          <w:marRight w:val="0"/>
          <w:marTop w:val="0"/>
          <w:marBottom w:val="0"/>
          <w:divBdr>
            <w:top w:val="none" w:sz="0" w:space="0" w:color="auto"/>
            <w:left w:val="none" w:sz="0" w:space="0" w:color="auto"/>
            <w:bottom w:val="none" w:sz="0" w:space="0" w:color="auto"/>
            <w:right w:val="none" w:sz="0" w:space="0" w:color="auto"/>
          </w:divBdr>
        </w:div>
        <w:div w:id="1241868547">
          <w:marLeft w:val="0"/>
          <w:marRight w:val="0"/>
          <w:marTop w:val="0"/>
          <w:marBottom w:val="0"/>
          <w:divBdr>
            <w:top w:val="none" w:sz="0" w:space="0" w:color="auto"/>
            <w:left w:val="none" w:sz="0" w:space="0" w:color="auto"/>
            <w:bottom w:val="none" w:sz="0" w:space="0" w:color="auto"/>
            <w:right w:val="none" w:sz="0" w:space="0" w:color="auto"/>
          </w:divBdr>
        </w:div>
        <w:div w:id="990214955">
          <w:marLeft w:val="0"/>
          <w:marRight w:val="0"/>
          <w:marTop w:val="0"/>
          <w:marBottom w:val="0"/>
          <w:divBdr>
            <w:top w:val="none" w:sz="0" w:space="0" w:color="auto"/>
            <w:left w:val="none" w:sz="0" w:space="0" w:color="auto"/>
            <w:bottom w:val="none" w:sz="0" w:space="0" w:color="auto"/>
            <w:right w:val="none" w:sz="0" w:space="0" w:color="auto"/>
          </w:divBdr>
        </w:div>
        <w:div w:id="1121606945">
          <w:marLeft w:val="0"/>
          <w:marRight w:val="0"/>
          <w:marTop w:val="0"/>
          <w:marBottom w:val="0"/>
          <w:divBdr>
            <w:top w:val="none" w:sz="0" w:space="0" w:color="auto"/>
            <w:left w:val="none" w:sz="0" w:space="0" w:color="auto"/>
            <w:bottom w:val="none" w:sz="0" w:space="0" w:color="auto"/>
            <w:right w:val="none" w:sz="0" w:space="0" w:color="auto"/>
          </w:divBdr>
        </w:div>
        <w:div w:id="1320573686">
          <w:marLeft w:val="0"/>
          <w:marRight w:val="0"/>
          <w:marTop w:val="0"/>
          <w:marBottom w:val="0"/>
          <w:divBdr>
            <w:top w:val="none" w:sz="0" w:space="0" w:color="auto"/>
            <w:left w:val="none" w:sz="0" w:space="0" w:color="auto"/>
            <w:bottom w:val="none" w:sz="0" w:space="0" w:color="auto"/>
            <w:right w:val="none" w:sz="0" w:space="0" w:color="auto"/>
          </w:divBdr>
        </w:div>
        <w:div w:id="1094324499">
          <w:marLeft w:val="0"/>
          <w:marRight w:val="0"/>
          <w:marTop w:val="0"/>
          <w:marBottom w:val="0"/>
          <w:divBdr>
            <w:top w:val="none" w:sz="0" w:space="0" w:color="auto"/>
            <w:left w:val="none" w:sz="0" w:space="0" w:color="auto"/>
            <w:bottom w:val="none" w:sz="0" w:space="0" w:color="auto"/>
            <w:right w:val="none" w:sz="0" w:space="0" w:color="auto"/>
          </w:divBdr>
        </w:div>
        <w:div w:id="619604716">
          <w:marLeft w:val="0"/>
          <w:marRight w:val="0"/>
          <w:marTop w:val="0"/>
          <w:marBottom w:val="0"/>
          <w:divBdr>
            <w:top w:val="none" w:sz="0" w:space="0" w:color="auto"/>
            <w:left w:val="none" w:sz="0" w:space="0" w:color="auto"/>
            <w:bottom w:val="none" w:sz="0" w:space="0" w:color="auto"/>
            <w:right w:val="none" w:sz="0" w:space="0" w:color="auto"/>
          </w:divBdr>
        </w:div>
        <w:div w:id="1990013324">
          <w:marLeft w:val="0"/>
          <w:marRight w:val="0"/>
          <w:marTop w:val="0"/>
          <w:marBottom w:val="0"/>
          <w:divBdr>
            <w:top w:val="none" w:sz="0" w:space="0" w:color="auto"/>
            <w:left w:val="none" w:sz="0" w:space="0" w:color="auto"/>
            <w:bottom w:val="none" w:sz="0" w:space="0" w:color="auto"/>
            <w:right w:val="none" w:sz="0" w:space="0" w:color="auto"/>
          </w:divBdr>
        </w:div>
        <w:div w:id="1418474756">
          <w:marLeft w:val="0"/>
          <w:marRight w:val="0"/>
          <w:marTop w:val="0"/>
          <w:marBottom w:val="0"/>
          <w:divBdr>
            <w:top w:val="none" w:sz="0" w:space="0" w:color="auto"/>
            <w:left w:val="none" w:sz="0" w:space="0" w:color="auto"/>
            <w:bottom w:val="none" w:sz="0" w:space="0" w:color="auto"/>
            <w:right w:val="none" w:sz="0" w:space="0" w:color="auto"/>
          </w:divBdr>
        </w:div>
        <w:div w:id="67267396">
          <w:marLeft w:val="0"/>
          <w:marRight w:val="0"/>
          <w:marTop w:val="0"/>
          <w:marBottom w:val="0"/>
          <w:divBdr>
            <w:top w:val="none" w:sz="0" w:space="0" w:color="auto"/>
            <w:left w:val="none" w:sz="0" w:space="0" w:color="auto"/>
            <w:bottom w:val="none" w:sz="0" w:space="0" w:color="auto"/>
            <w:right w:val="none" w:sz="0" w:space="0" w:color="auto"/>
          </w:divBdr>
        </w:div>
        <w:div w:id="1068263922">
          <w:marLeft w:val="0"/>
          <w:marRight w:val="0"/>
          <w:marTop w:val="0"/>
          <w:marBottom w:val="0"/>
          <w:divBdr>
            <w:top w:val="none" w:sz="0" w:space="0" w:color="auto"/>
            <w:left w:val="none" w:sz="0" w:space="0" w:color="auto"/>
            <w:bottom w:val="none" w:sz="0" w:space="0" w:color="auto"/>
            <w:right w:val="none" w:sz="0" w:space="0" w:color="auto"/>
          </w:divBdr>
        </w:div>
        <w:div w:id="211355111">
          <w:marLeft w:val="0"/>
          <w:marRight w:val="0"/>
          <w:marTop w:val="0"/>
          <w:marBottom w:val="0"/>
          <w:divBdr>
            <w:top w:val="none" w:sz="0" w:space="0" w:color="auto"/>
            <w:left w:val="none" w:sz="0" w:space="0" w:color="auto"/>
            <w:bottom w:val="none" w:sz="0" w:space="0" w:color="auto"/>
            <w:right w:val="none" w:sz="0" w:space="0" w:color="auto"/>
          </w:divBdr>
        </w:div>
        <w:div w:id="32972571">
          <w:marLeft w:val="0"/>
          <w:marRight w:val="0"/>
          <w:marTop w:val="0"/>
          <w:marBottom w:val="0"/>
          <w:divBdr>
            <w:top w:val="none" w:sz="0" w:space="0" w:color="auto"/>
            <w:left w:val="none" w:sz="0" w:space="0" w:color="auto"/>
            <w:bottom w:val="none" w:sz="0" w:space="0" w:color="auto"/>
            <w:right w:val="none" w:sz="0" w:space="0" w:color="auto"/>
          </w:divBdr>
        </w:div>
        <w:div w:id="1430393946">
          <w:marLeft w:val="0"/>
          <w:marRight w:val="0"/>
          <w:marTop w:val="0"/>
          <w:marBottom w:val="0"/>
          <w:divBdr>
            <w:top w:val="none" w:sz="0" w:space="0" w:color="auto"/>
            <w:left w:val="none" w:sz="0" w:space="0" w:color="auto"/>
            <w:bottom w:val="none" w:sz="0" w:space="0" w:color="auto"/>
            <w:right w:val="none" w:sz="0" w:space="0" w:color="auto"/>
          </w:divBdr>
        </w:div>
        <w:div w:id="1457411901">
          <w:marLeft w:val="0"/>
          <w:marRight w:val="0"/>
          <w:marTop w:val="0"/>
          <w:marBottom w:val="0"/>
          <w:divBdr>
            <w:top w:val="none" w:sz="0" w:space="0" w:color="auto"/>
            <w:left w:val="none" w:sz="0" w:space="0" w:color="auto"/>
            <w:bottom w:val="none" w:sz="0" w:space="0" w:color="auto"/>
            <w:right w:val="none" w:sz="0" w:space="0" w:color="auto"/>
          </w:divBdr>
        </w:div>
        <w:div w:id="1701513128">
          <w:marLeft w:val="0"/>
          <w:marRight w:val="0"/>
          <w:marTop w:val="0"/>
          <w:marBottom w:val="0"/>
          <w:divBdr>
            <w:top w:val="none" w:sz="0" w:space="0" w:color="auto"/>
            <w:left w:val="none" w:sz="0" w:space="0" w:color="auto"/>
            <w:bottom w:val="none" w:sz="0" w:space="0" w:color="auto"/>
            <w:right w:val="none" w:sz="0" w:space="0" w:color="auto"/>
          </w:divBdr>
        </w:div>
      </w:divsChild>
    </w:div>
    <w:div w:id="1206795225">
      <w:bodyDiv w:val="1"/>
      <w:marLeft w:val="0"/>
      <w:marRight w:val="0"/>
      <w:marTop w:val="0"/>
      <w:marBottom w:val="0"/>
      <w:divBdr>
        <w:top w:val="none" w:sz="0" w:space="0" w:color="auto"/>
        <w:left w:val="none" w:sz="0" w:space="0" w:color="auto"/>
        <w:bottom w:val="none" w:sz="0" w:space="0" w:color="auto"/>
        <w:right w:val="none" w:sz="0" w:space="0" w:color="auto"/>
      </w:divBdr>
    </w:div>
    <w:div w:id="1216814675">
      <w:bodyDiv w:val="1"/>
      <w:marLeft w:val="0"/>
      <w:marRight w:val="0"/>
      <w:marTop w:val="0"/>
      <w:marBottom w:val="0"/>
      <w:divBdr>
        <w:top w:val="none" w:sz="0" w:space="0" w:color="auto"/>
        <w:left w:val="none" w:sz="0" w:space="0" w:color="auto"/>
        <w:bottom w:val="none" w:sz="0" w:space="0" w:color="auto"/>
        <w:right w:val="none" w:sz="0" w:space="0" w:color="auto"/>
      </w:divBdr>
      <w:divsChild>
        <w:div w:id="1491602046">
          <w:marLeft w:val="0"/>
          <w:marRight w:val="0"/>
          <w:marTop w:val="0"/>
          <w:marBottom w:val="0"/>
          <w:divBdr>
            <w:top w:val="none" w:sz="0" w:space="0" w:color="auto"/>
            <w:left w:val="none" w:sz="0" w:space="0" w:color="auto"/>
            <w:bottom w:val="none" w:sz="0" w:space="0" w:color="auto"/>
            <w:right w:val="none" w:sz="0" w:space="0" w:color="auto"/>
          </w:divBdr>
        </w:div>
        <w:div w:id="86465901">
          <w:marLeft w:val="0"/>
          <w:marRight w:val="0"/>
          <w:marTop w:val="0"/>
          <w:marBottom w:val="0"/>
          <w:divBdr>
            <w:top w:val="none" w:sz="0" w:space="0" w:color="auto"/>
            <w:left w:val="none" w:sz="0" w:space="0" w:color="auto"/>
            <w:bottom w:val="none" w:sz="0" w:space="0" w:color="auto"/>
            <w:right w:val="none" w:sz="0" w:space="0" w:color="auto"/>
          </w:divBdr>
        </w:div>
        <w:div w:id="1350058744">
          <w:marLeft w:val="0"/>
          <w:marRight w:val="0"/>
          <w:marTop w:val="0"/>
          <w:marBottom w:val="0"/>
          <w:divBdr>
            <w:top w:val="none" w:sz="0" w:space="0" w:color="auto"/>
            <w:left w:val="none" w:sz="0" w:space="0" w:color="auto"/>
            <w:bottom w:val="none" w:sz="0" w:space="0" w:color="auto"/>
            <w:right w:val="none" w:sz="0" w:space="0" w:color="auto"/>
          </w:divBdr>
        </w:div>
        <w:div w:id="865600450">
          <w:marLeft w:val="0"/>
          <w:marRight w:val="0"/>
          <w:marTop w:val="0"/>
          <w:marBottom w:val="0"/>
          <w:divBdr>
            <w:top w:val="none" w:sz="0" w:space="0" w:color="auto"/>
            <w:left w:val="none" w:sz="0" w:space="0" w:color="auto"/>
            <w:bottom w:val="none" w:sz="0" w:space="0" w:color="auto"/>
            <w:right w:val="none" w:sz="0" w:space="0" w:color="auto"/>
          </w:divBdr>
        </w:div>
        <w:div w:id="869298118">
          <w:marLeft w:val="0"/>
          <w:marRight w:val="0"/>
          <w:marTop w:val="0"/>
          <w:marBottom w:val="0"/>
          <w:divBdr>
            <w:top w:val="none" w:sz="0" w:space="0" w:color="auto"/>
            <w:left w:val="none" w:sz="0" w:space="0" w:color="auto"/>
            <w:bottom w:val="none" w:sz="0" w:space="0" w:color="auto"/>
            <w:right w:val="none" w:sz="0" w:space="0" w:color="auto"/>
          </w:divBdr>
        </w:div>
        <w:div w:id="908806154">
          <w:marLeft w:val="0"/>
          <w:marRight w:val="0"/>
          <w:marTop w:val="0"/>
          <w:marBottom w:val="0"/>
          <w:divBdr>
            <w:top w:val="none" w:sz="0" w:space="0" w:color="auto"/>
            <w:left w:val="none" w:sz="0" w:space="0" w:color="auto"/>
            <w:bottom w:val="none" w:sz="0" w:space="0" w:color="auto"/>
            <w:right w:val="none" w:sz="0" w:space="0" w:color="auto"/>
          </w:divBdr>
        </w:div>
        <w:div w:id="1366098129">
          <w:marLeft w:val="0"/>
          <w:marRight w:val="0"/>
          <w:marTop w:val="0"/>
          <w:marBottom w:val="0"/>
          <w:divBdr>
            <w:top w:val="none" w:sz="0" w:space="0" w:color="auto"/>
            <w:left w:val="none" w:sz="0" w:space="0" w:color="auto"/>
            <w:bottom w:val="none" w:sz="0" w:space="0" w:color="auto"/>
            <w:right w:val="none" w:sz="0" w:space="0" w:color="auto"/>
          </w:divBdr>
        </w:div>
        <w:div w:id="1666938055">
          <w:marLeft w:val="0"/>
          <w:marRight w:val="0"/>
          <w:marTop w:val="0"/>
          <w:marBottom w:val="0"/>
          <w:divBdr>
            <w:top w:val="none" w:sz="0" w:space="0" w:color="auto"/>
            <w:left w:val="none" w:sz="0" w:space="0" w:color="auto"/>
            <w:bottom w:val="none" w:sz="0" w:space="0" w:color="auto"/>
            <w:right w:val="none" w:sz="0" w:space="0" w:color="auto"/>
          </w:divBdr>
        </w:div>
        <w:div w:id="451751196">
          <w:marLeft w:val="0"/>
          <w:marRight w:val="0"/>
          <w:marTop w:val="0"/>
          <w:marBottom w:val="0"/>
          <w:divBdr>
            <w:top w:val="none" w:sz="0" w:space="0" w:color="auto"/>
            <w:left w:val="none" w:sz="0" w:space="0" w:color="auto"/>
            <w:bottom w:val="none" w:sz="0" w:space="0" w:color="auto"/>
            <w:right w:val="none" w:sz="0" w:space="0" w:color="auto"/>
          </w:divBdr>
        </w:div>
        <w:div w:id="312218120">
          <w:marLeft w:val="0"/>
          <w:marRight w:val="0"/>
          <w:marTop w:val="0"/>
          <w:marBottom w:val="0"/>
          <w:divBdr>
            <w:top w:val="none" w:sz="0" w:space="0" w:color="auto"/>
            <w:left w:val="none" w:sz="0" w:space="0" w:color="auto"/>
            <w:bottom w:val="none" w:sz="0" w:space="0" w:color="auto"/>
            <w:right w:val="none" w:sz="0" w:space="0" w:color="auto"/>
          </w:divBdr>
        </w:div>
        <w:div w:id="1093746890">
          <w:marLeft w:val="0"/>
          <w:marRight w:val="0"/>
          <w:marTop w:val="0"/>
          <w:marBottom w:val="0"/>
          <w:divBdr>
            <w:top w:val="none" w:sz="0" w:space="0" w:color="auto"/>
            <w:left w:val="none" w:sz="0" w:space="0" w:color="auto"/>
            <w:bottom w:val="none" w:sz="0" w:space="0" w:color="auto"/>
            <w:right w:val="none" w:sz="0" w:space="0" w:color="auto"/>
          </w:divBdr>
        </w:div>
        <w:div w:id="793059085">
          <w:marLeft w:val="0"/>
          <w:marRight w:val="0"/>
          <w:marTop w:val="0"/>
          <w:marBottom w:val="0"/>
          <w:divBdr>
            <w:top w:val="none" w:sz="0" w:space="0" w:color="auto"/>
            <w:left w:val="none" w:sz="0" w:space="0" w:color="auto"/>
            <w:bottom w:val="none" w:sz="0" w:space="0" w:color="auto"/>
            <w:right w:val="none" w:sz="0" w:space="0" w:color="auto"/>
          </w:divBdr>
        </w:div>
        <w:div w:id="1188370431">
          <w:marLeft w:val="0"/>
          <w:marRight w:val="0"/>
          <w:marTop w:val="0"/>
          <w:marBottom w:val="0"/>
          <w:divBdr>
            <w:top w:val="none" w:sz="0" w:space="0" w:color="auto"/>
            <w:left w:val="none" w:sz="0" w:space="0" w:color="auto"/>
            <w:bottom w:val="none" w:sz="0" w:space="0" w:color="auto"/>
            <w:right w:val="none" w:sz="0" w:space="0" w:color="auto"/>
          </w:divBdr>
        </w:div>
        <w:div w:id="779182227">
          <w:marLeft w:val="0"/>
          <w:marRight w:val="0"/>
          <w:marTop w:val="0"/>
          <w:marBottom w:val="0"/>
          <w:divBdr>
            <w:top w:val="none" w:sz="0" w:space="0" w:color="auto"/>
            <w:left w:val="none" w:sz="0" w:space="0" w:color="auto"/>
            <w:bottom w:val="none" w:sz="0" w:space="0" w:color="auto"/>
            <w:right w:val="none" w:sz="0" w:space="0" w:color="auto"/>
          </w:divBdr>
        </w:div>
        <w:div w:id="237440638">
          <w:marLeft w:val="0"/>
          <w:marRight w:val="0"/>
          <w:marTop w:val="0"/>
          <w:marBottom w:val="0"/>
          <w:divBdr>
            <w:top w:val="none" w:sz="0" w:space="0" w:color="auto"/>
            <w:left w:val="none" w:sz="0" w:space="0" w:color="auto"/>
            <w:bottom w:val="none" w:sz="0" w:space="0" w:color="auto"/>
            <w:right w:val="none" w:sz="0" w:space="0" w:color="auto"/>
          </w:divBdr>
        </w:div>
        <w:div w:id="248005785">
          <w:marLeft w:val="0"/>
          <w:marRight w:val="0"/>
          <w:marTop w:val="0"/>
          <w:marBottom w:val="0"/>
          <w:divBdr>
            <w:top w:val="none" w:sz="0" w:space="0" w:color="auto"/>
            <w:left w:val="none" w:sz="0" w:space="0" w:color="auto"/>
            <w:bottom w:val="none" w:sz="0" w:space="0" w:color="auto"/>
            <w:right w:val="none" w:sz="0" w:space="0" w:color="auto"/>
          </w:divBdr>
        </w:div>
        <w:div w:id="1295984145">
          <w:marLeft w:val="0"/>
          <w:marRight w:val="0"/>
          <w:marTop w:val="0"/>
          <w:marBottom w:val="0"/>
          <w:divBdr>
            <w:top w:val="none" w:sz="0" w:space="0" w:color="auto"/>
            <w:left w:val="none" w:sz="0" w:space="0" w:color="auto"/>
            <w:bottom w:val="none" w:sz="0" w:space="0" w:color="auto"/>
            <w:right w:val="none" w:sz="0" w:space="0" w:color="auto"/>
          </w:divBdr>
        </w:div>
        <w:div w:id="1863277684">
          <w:marLeft w:val="0"/>
          <w:marRight w:val="0"/>
          <w:marTop w:val="0"/>
          <w:marBottom w:val="0"/>
          <w:divBdr>
            <w:top w:val="none" w:sz="0" w:space="0" w:color="auto"/>
            <w:left w:val="none" w:sz="0" w:space="0" w:color="auto"/>
            <w:bottom w:val="none" w:sz="0" w:space="0" w:color="auto"/>
            <w:right w:val="none" w:sz="0" w:space="0" w:color="auto"/>
          </w:divBdr>
        </w:div>
        <w:div w:id="1746760480">
          <w:marLeft w:val="0"/>
          <w:marRight w:val="0"/>
          <w:marTop w:val="0"/>
          <w:marBottom w:val="0"/>
          <w:divBdr>
            <w:top w:val="none" w:sz="0" w:space="0" w:color="auto"/>
            <w:left w:val="none" w:sz="0" w:space="0" w:color="auto"/>
            <w:bottom w:val="none" w:sz="0" w:space="0" w:color="auto"/>
            <w:right w:val="none" w:sz="0" w:space="0" w:color="auto"/>
          </w:divBdr>
        </w:div>
        <w:div w:id="919951655">
          <w:marLeft w:val="0"/>
          <w:marRight w:val="0"/>
          <w:marTop w:val="0"/>
          <w:marBottom w:val="0"/>
          <w:divBdr>
            <w:top w:val="none" w:sz="0" w:space="0" w:color="auto"/>
            <w:left w:val="none" w:sz="0" w:space="0" w:color="auto"/>
            <w:bottom w:val="none" w:sz="0" w:space="0" w:color="auto"/>
            <w:right w:val="none" w:sz="0" w:space="0" w:color="auto"/>
          </w:divBdr>
        </w:div>
      </w:divsChild>
    </w:div>
    <w:div w:id="1236893525">
      <w:bodyDiv w:val="1"/>
      <w:marLeft w:val="0"/>
      <w:marRight w:val="0"/>
      <w:marTop w:val="0"/>
      <w:marBottom w:val="0"/>
      <w:divBdr>
        <w:top w:val="none" w:sz="0" w:space="0" w:color="auto"/>
        <w:left w:val="none" w:sz="0" w:space="0" w:color="auto"/>
        <w:bottom w:val="none" w:sz="0" w:space="0" w:color="auto"/>
        <w:right w:val="none" w:sz="0" w:space="0" w:color="auto"/>
      </w:divBdr>
      <w:divsChild>
        <w:div w:id="210968698">
          <w:marLeft w:val="0"/>
          <w:marRight w:val="0"/>
          <w:marTop w:val="0"/>
          <w:marBottom w:val="0"/>
          <w:divBdr>
            <w:top w:val="none" w:sz="0" w:space="0" w:color="auto"/>
            <w:left w:val="none" w:sz="0" w:space="0" w:color="auto"/>
            <w:bottom w:val="none" w:sz="0" w:space="0" w:color="auto"/>
            <w:right w:val="none" w:sz="0" w:space="0" w:color="auto"/>
          </w:divBdr>
        </w:div>
        <w:div w:id="1894193628">
          <w:marLeft w:val="0"/>
          <w:marRight w:val="0"/>
          <w:marTop w:val="0"/>
          <w:marBottom w:val="0"/>
          <w:divBdr>
            <w:top w:val="none" w:sz="0" w:space="0" w:color="auto"/>
            <w:left w:val="none" w:sz="0" w:space="0" w:color="auto"/>
            <w:bottom w:val="none" w:sz="0" w:space="0" w:color="auto"/>
            <w:right w:val="none" w:sz="0" w:space="0" w:color="auto"/>
          </w:divBdr>
        </w:div>
        <w:div w:id="538125242">
          <w:marLeft w:val="0"/>
          <w:marRight w:val="0"/>
          <w:marTop w:val="0"/>
          <w:marBottom w:val="0"/>
          <w:divBdr>
            <w:top w:val="none" w:sz="0" w:space="0" w:color="auto"/>
            <w:left w:val="none" w:sz="0" w:space="0" w:color="auto"/>
            <w:bottom w:val="none" w:sz="0" w:space="0" w:color="auto"/>
            <w:right w:val="none" w:sz="0" w:space="0" w:color="auto"/>
          </w:divBdr>
        </w:div>
        <w:div w:id="424376165">
          <w:marLeft w:val="0"/>
          <w:marRight w:val="0"/>
          <w:marTop w:val="0"/>
          <w:marBottom w:val="0"/>
          <w:divBdr>
            <w:top w:val="none" w:sz="0" w:space="0" w:color="auto"/>
            <w:left w:val="none" w:sz="0" w:space="0" w:color="auto"/>
            <w:bottom w:val="none" w:sz="0" w:space="0" w:color="auto"/>
            <w:right w:val="none" w:sz="0" w:space="0" w:color="auto"/>
          </w:divBdr>
        </w:div>
        <w:div w:id="462187905">
          <w:marLeft w:val="0"/>
          <w:marRight w:val="0"/>
          <w:marTop w:val="0"/>
          <w:marBottom w:val="0"/>
          <w:divBdr>
            <w:top w:val="none" w:sz="0" w:space="0" w:color="auto"/>
            <w:left w:val="none" w:sz="0" w:space="0" w:color="auto"/>
            <w:bottom w:val="none" w:sz="0" w:space="0" w:color="auto"/>
            <w:right w:val="none" w:sz="0" w:space="0" w:color="auto"/>
          </w:divBdr>
        </w:div>
        <w:div w:id="540944150">
          <w:marLeft w:val="0"/>
          <w:marRight w:val="0"/>
          <w:marTop w:val="0"/>
          <w:marBottom w:val="0"/>
          <w:divBdr>
            <w:top w:val="none" w:sz="0" w:space="0" w:color="auto"/>
            <w:left w:val="none" w:sz="0" w:space="0" w:color="auto"/>
            <w:bottom w:val="none" w:sz="0" w:space="0" w:color="auto"/>
            <w:right w:val="none" w:sz="0" w:space="0" w:color="auto"/>
          </w:divBdr>
        </w:div>
        <w:div w:id="36393157">
          <w:marLeft w:val="0"/>
          <w:marRight w:val="0"/>
          <w:marTop w:val="0"/>
          <w:marBottom w:val="0"/>
          <w:divBdr>
            <w:top w:val="none" w:sz="0" w:space="0" w:color="auto"/>
            <w:left w:val="none" w:sz="0" w:space="0" w:color="auto"/>
            <w:bottom w:val="none" w:sz="0" w:space="0" w:color="auto"/>
            <w:right w:val="none" w:sz="0" w:space="0" w:color="auto"/>
          </w:divBdr>
        </w:div>
        <w:div w:id="1123576045">
          <w:marLeft w:val="0"/>
          <w:marRight w:val="0"/>
          <w:marTop w:val="0"/>
          <w:marBottom w:val="0"/>
          <w:divBdr>
            <w:top w:val="none" w:sz="0" w:space="0" w:color="auto"/>
            <w:left w:val="none" w:sz="0" w:space="0" w:color="auto"/>
            <w:bottom w:val="none" w:sz="0" w:space="0" w:color="auto"/>
            <w:right w:val="none" w:sz="0" w:space="0" w:color="auto"/>
          </w:divBdr>
        </w:div>
        <w:div w:id="47652912">
          <w:marLeft w:val="0"/>
          <w:marRight w:val="0"/>
          <w:marTop w:val="0"/>
          <w:marBottom w:val="0"/>
          <w:divBdr>
            <w:top w:val="none" w:sz="0" w:space="0" w:color="auto"/>
            <w:left w:val="none" w:sz="0" w:space="0" w:color="auto"/>
            <w:bottom w:val="none" w:sz="0" w:space="0" w:color="auto"/>
            <w:right w:val="none" w:sz="0" w:space="0" w:color="auto"/>
          </w:divBdr>
        </w:div>
        <w:div w:id="1611472296">
          <w:marLeft w:val="0"/>
          <w:marRight w:val="0"/>
          <w:marTop w:val="0"/>
          <w:marBottom w:val="0"/>
          <w:divBdr>
            <w:top w:val="none" w:sz="0" w:space="0" w:color="auto"/>
            <w:left w:val="none" w:sz="0" w:space="0" w:color="auto"/>
            <w:bottom w:val="none" w:sz="0" w:space="0" w:color="auto"/>
            <w:right w:val="none" w:sz="0" w:space="0" w:color="auto"/>
          </w:divBdr>
        </w:div>
        <w:div w:id="953290734">
          <w:marLeft w:val="0"/>
          <w:marRight w:val="0"/>
          <w:marTop w:val="0"/>
          <w:marBottom w:val="0"/>
          <w:divBdr>
            <w:top w:val="none" w:sz="0" w:space="0" w:color="auto"/>
            <w:left w:val="none" w:sz="0" w:space="0" w:color="auto"/>
            <w:bottom w:val="none" w:sz="0" w:space="0" w:color="auto"/>
            <w:right w:val="none" w:sz="0" w:space="0" w:color="auto"/>
          </w:divBdr>
        </w:div>
        <w:div w:id="464545587">
          <w:marLeft w:val="0"/>
          <w:marRight w:val="0"/>
          <w:marTop w:val="0"/>
          <w:marBottom w:val="0"/>
          <w:divBdr>
            <w:top w:val="none" w:sz="0" w:space="0" w:color="auto"/>
            <w:left w:val="none" w:sz="0" w:space="0" w:color="auto"/>
            <w:bottom w:val="none" w:sz="0" w:space="0" w:color="auto"/>
            <w:right w:val="none" w:sz="0" w:space="0" w:color="auto"/>
          </w:divBdr>
        </w:div>
        <w:div w:id="902912183">
          <w:marLeft w:val="0"/>
          <w:marRight w:val="0"/>
          <w:marTop w:val="0"/>
          <w:marBottom w:val="0"/>
          <w:divBdr>
            <w:top w:val="none" w:sz="0" w:space="0" w:color="auto"/>
            <w:left w:val="none" w:sz="0" w:space="0" w:color="auto"/>
            <w:bottom w:val="none" w:sz="0" w:space="0" w:color="auto"/>
            <w:right w:val="none" w:sz="0" w:space="0" w:color="auto"/>
          </w:divBdr>
        </w:div>
        <w:div w:id="395251909">
          <w:marLeft w:val="0"/>
          <w:marRight w:val="0"/>
          <w:marTop w:val="0"/>
          <w:marBottom w:val="0"/>
          <w:divBdr>
            <w:top w:val="none" w:sz="0" w:space="0" w:color="auto"/>
            <w:left w:val="none" w:sz="0" w:space="0" w:color="auto"/>
            <w:bottom w:val="none" w:sz="0" w:space="0" w:color="auto"/>
            <w:right w:val="none" w:sz="0" w:space="0" w:color="auto"/>
          </w:divBdr>
        </w:div>
        <w:div w:id="1488092014">
          <w:marLeft w:val="0"/>
          <w:marRight w:val="0"/>
          <w:marTop w:val="0"/>
          <w:marBottom w:val="0"/>
          <w:divBdr>
            <w:top w:val="none" w:sz="0" w:space="0" w:color="auto"/>
            <w:left w:val="none" w:sz="0" w:space="0" w:color="auto"/>
            <w:bottom w:val="none" w:sz="0" w:space="0" w:color="auto"/>
            <w:right w:val="none" w:sz="0" w:space="0" w:color="auto"/>
          </w:divBdr>
        </w:div>
        <w:div w:id="1204488970">
          <w:marLeft w:val="0"/>
          <w:marRight w:val="0"/>
          <w:marTop w:val="0"/>
          <w:marBottom w:val="0"/>
          <w:divBdr>
            <w:top w:val="none" w:sz="0" w:space="0" w:color="auto"/>
            <w:left w:val="none" w:sz="0" w:space="0" w:color="auto"/>
            <w:bottom w:val="none" w:sz="0" w:space="0" w:color="auto"/>
            <w:right w:val="none" w:sz="0" w:space="0" w:color="auto"/>
          </w:divBdr>
        </w:div>
        <w:div w:id="339897868">
          <w:marLeft w:val="0"/>
          <w:marRight w:val="0"/>
          <w:marTop w:val="0"/>
          <w:marBottom w:val="0"/>
          <w:divBdr>
            <w:top w:val="none" w:sz="0" w:space="0" w:color="auto"/>
            <w:left w:val="none" w:sz="0" w:space="0" w:color="auto"/>
            <w:bottom w:val="none" w:sz="0" w:space="0" w:color="auto"/>
            <w:right w:val="none" w:sz="0" w:space="0" w:color="auto"/>
          </w:divBdr>
        </w:div>
        <w:div w:id="2023898392">
          <w:marLeft w:val="0"/>
          <w:marRight w:val="0"/>
          <w:marTop w:val="0"/>
          <w:marBottom w:val="0"/>
          <w:divBdr>
            <w:top w:val="none" w:sz="0" w:space="0" w:color="auto"/>
            <w:left w:val="none" w:sz="0" w:space="0" w:color="auto"/>
            <w:bottom w:val="none" w:sz="0" w:space="0" w:color="auto"/>
            <w:right w:val="none" w:sz="0" w:space="0" w:color="auto"/>
          </w:divBdr>
        </w:div>
        <w:div w:id="1236862054">
          <w:marLeft w:val="0"/>
          <w:marRight w:val="0"/>
          <w:marTop w:val="0"/>
          <w:marBottom w:val="0"/>
          <w:divBdr>
            <w:top w:val="none" w:sz="0" w:space="0" w:color="auto"/>
            <w:left w:val="none" w:sz="0" w:space="0" w:color="auto"/>
            <w:bottom w:val="none" w:sz="0" w:space="0" w:color="auto"/>
            <w:right w:val="none" w:sz="0" w:space="0" w:color="auto"/>
          </w:divBdr>
        </w:div>
      </w:divsChild>
    </w:div>
    <w:div w:id="1257127803">
      <w:bodyDiv w:val="1"/>
      <w:marLeft w:val="0"/>
      <w:marRight w:val="0"/>
      <w:marTop w:val="0"/>
      <w:marBottom w:val="0"/>
      <w:divBdr>
        <w:top w:val="none" w:sz="0" w:space="0" w:color="auto"/>
        <w:left w:val="none" w:sz="0" w:space="0" w:color="auto"/>
        <w:bottom w:val="none" w:sz="0" w:space="0" w:color="auto"/>
        <w:right w:val="none" w:sz="0" w:space="0" w:color="auto"/>
      </w:divBdr>
      <w:divsChild>
        <w:div w:id="334499178">
          <w:marLeft w:val="0"/>
          <w:marRight w:val="0"/>
          <w:marTop w:val="0"/>
          <w:marBottom w:val="0"/>
          <w:divBdr>
            <w:top w:val="none" w:sz="0" w:space="0" w:color="auto"/>
            <w:left w:val="none" w:sz="0" w:space="0" w:color="auto"/>
            <w:bottom w:val="none" w:sz="0" w:space="0" w:color="auto"/>
            <w:right w:val="none" w:sz="0" w:space="0" w:color="auto"/>
          </w:divBdr>
        </w:div>
        <w:div w:id="695620309">
          <w:marLeft w:val="0"/>
          <w:marRight w:val="0"/>
          <w:marTop w:val="0"/>
          <w:marBottom w:val="0"/>
          <w:divBdr>
            <w:top w:val="none" w:sz="0" w:space="0" w:color="auto"/>
            <w:left w:val="none" w:sz="0" w:space="0" w:color="auto"/>
            <w:bottom w:val="none" w:sz="0" w:space="0" w:color="auto"/>
            <w:right w:val="none" w:sz="0" w:space="0" w:color="auto"/>
          </w:divBdr>
        </w:div>
        <w:div w:id="1596671316">
          <w:marLeft w:val="0"/>
          <w:marRight w:val="0"/>
          <w:marTop w:val="0"/>
          <w:marBottom w:val="0"/>
          <w:divBdr>
            <w:top w:val="none" w:sz="0" w:space="0" w:color="auto"/>
            <w:left w:val="none" w:sz="0" w:space="0" w:color="auto"/>
            <w:bottom w:val="none" w:sz="0" w:space="0" w:color="auto"/>
            <w:right w:val="none" w:sz="0" w:space="0" w:color="auto"/>
          </w:divBdr>
        </w:div>
        <w:div w:id="1048257504">
          <w:marLeft w:val="0"/>
          <w:marRight w:val="0"/>
          <w:marTop w:val="0"/>
          <w:marBottom w:val="0"/>
          <w:divBdr>
            <w:top w:val="none" w:sz="0" w:space="0" w:color="auto"/>
            <w:left w:val="none" w:sz="0" w:space="0" w:color="auto"/>
            <w:bottom w:val="none" w:sz="0" w:space="0" w:color="auto"/>
            <w:right w:val="none" w:sz="0" w:space="0" w:color="auto"/>
          </w:divBdr>
        </w:div>
        <w:div w:id="1489638956">
          <w:marLeft w:val="0"/>
          <w:marRight w:val="0"/>
          <w:marTop w:val="0"/>
          <w:marBottom w:val="0"/>
          <w:divBdr>
            <w:top w:val="none" w:sz="0" w:space="0" w:color="auto"/>
            <w:left w:val="none" w:sz="0" w:space="0" w:color="auto"/>
            <w:bottom w:val="none" w:sz="0" w:space="0" w:color="auto"/>
            <w:right w:val="none" w:sz="0" w:space="0" w:color="auto"/>
          </w:divBdr>
        </w:div>
        <w:div w:id="884097646">
          <w:marLeft w:val="0"/>
          <w:marRight w:val="0"/>
          <w:marTop w:val="0"/>
          <w:marBottom w:val="0"/>
          <w:divBdr>
            <w:top w:val="none" w:sz="0" w:space="0" w:color="auto"/>
            <w:left w:val="none" w:sz="0" w:space="0" w:color="auto"/>
            <w:bottom w:val="none" w:sz="0" w:space="0" w:color="auto"/>
            <w:right w:val="none" w:sz="0" w:space="0" w:color="auto"/>
          </w:divBdr>
        </w:div>
        <w:div w:id="580330907">
          <w:marLeft w:val="0"/>
          <w:marRight w:val="0"/>
          <w:marTop w:val="0"/>
          <w:marBottom w:val="0"/>
          <w:divBdr>
            <w:top w:val="none" w:sz="0" w:space="0" w:color="auto"/>
            <w:left w:val="none" w:sz="0" w:space="0" w:color="auto"/>
            <w:bottom w:val="none" w:sz="0" w:space="0" w:color="auto"/>
            <w:right w:val="none" w:sz="0" w:space="0" w:color="auto"/>
          </w:divBdr>
        </w:div>
        <w:div w:id="1053388102">
          <w:marLeft w:val="0"/>
          <w:marRight w:val="0"/>
          <w:marTop w:val="0"/>
          <w:marBottom w:val="0"/>
          <w:divBdr>
            <w:top w:val="none" w:sz="0" w:space="0" w:color="auto"/>
            <w:left w:val="none" w:sz="0" w:space="0" w:color="auto"/>
            <w:bottom w:val="none" w:sz="0" w:space="0" w:color="auto"/>
            <w:right w:val="none" w:sz="0" w:space="0" w:color="auto"/>
          </w:divBdr>
        </w:div>
        <w:div w:id="771559401">
          <w:marLeft w:val="0"/>
          <w:marRight w:val="0"/>
          <w:marTop w:val="0"/>
          <w:marBottom w:val="0"/>
          <w:divBdr>
            <w:top w:val="none" w:sz="0" w:space="0" w:color="auto"/>
            <w:left w:val="none" w:sz="0" w:space="0" w:color="auto"/>
            <w:bottom w:val="none" w:sz="0" w:space="0" w:color="auto"/>
            <w:right w:val="none" w:sz="0" w:space="0" w:color="auto"/>
          </w:divBdr>
        </w:div>
        <w:div w:id="1883590594">
          <w:marLeft w:val="0"/>
          <w:marRight w:val="0"/>
          <w:marTop w:val="0"/>
          <w:marBottom w:val="0"/>
          <w:divBdr>
            <w:top w:val="none" w:sz="0" w:space="0" w:color="auto"/>
            <w:left w:val="none" w:sz="0" w:space="0" w:color="auto"/>
            <w:bottom w:val="none" w:sz="0" w:space="0" w:color="auto"/>
            <w:right w:val="none" w:sz="0" w:space="0" w:color="auto"/>
          </w:divBdr>
        </w:div>
        <w:div w:id="1398281620">
          <w:marLeft w:val="0"/>
          <w:marRight w:val="0"/>
          <w:marTop w:val="0"/>
          <w:marBottom w:val="0"/>
          <w:divBdr>
            <w:top w:val="none" w:sz="0" w:space="0" w:color="auto"/>
            <w:left w:val="none" w:sz="0" w:space="0" w:color="auto"/>
            <w:bottom w:val="none" w:sz="0" w:space="0" w:color="auto"/>
            <w:right w:val="none" w:sz="0" w:space="0" w:color="auto"/>
          </w:divBdr>
        </w:div>
        <w:div w:id="1773473802">
          <w:marLeft w:val="0"/>
          <w:marRight w:val="0"/>
          <w:marTop w:val="0"/>
          <w:marBottom w:val="0"/>
          <w:divBdr>
            <w:top w:val="none" w:sz="0" w:space="0" w:color="auto"/>
            <w:left w:val="none" w:sz="0" w:space="0" w:color="auto"/>
            <w:bottom w:val="none" w:sz="0" w:space="0" w:color="auto"/>
            <w:right w:val="none" w:sz="0" w:space="0" w:color="auto"/>
          </w:divBdr>
        </w:div>
        <w:div w:id="1320427621">
          <w:marLeft w:val="0"/>
          <w:marRight w:val="0"/>
          <w:marTop w:val="0"/>
          <w:marBottom w:val="0"/>
          <w:divBdr>
            <w:top w:val="none" w:sz="0" w:space="0" w:color="auto"/>
            <w:left w:val="none" w:sz="0" w:space="0" w:color="auto"/>
            <w:bottom w:val="none" w:sz="0" w:space="0" w:color="auto"/>
            <w:right w:val="none" w:sz="0" w:space="0" w:color="auto"/>
          </w:divBdr>
        </w:div>
        <w:div w:id="1405301767">
          <w:marLeft w:val="0"/>
          <w:marRight w:val="0"/>
          <w:marTop w:val="0"/>
          <w:marBottom w:val="0"/>
          <w:divBdr>
            <w:top w:val="none" w:sz="0" w:space="0" w:color="auto"/>
            <w:left w:val="none" w:sz="0" w:space="0" w:color="auto"/>
            <w:bottom w:val="none" w:sz="0" w:space="0" w:color="auto"/>
            <w:right w:val="none" w:sz="0" w:space="0" w:color="auto"/>
          </w:divBdr>
        </w:div>
        <w:div w:id="168982073">
          <w:marLeft w:val="0"/>
          <w:marRight w:val="0"/>
          <w:marTop w:val="0"/>
          <w:marBottom w:val="0"/>
          <w:divBdr>
            <w:top w:val="none" w:sz="0" w:space="0" w:color="auto"/>
            <w:left w:val="none" w:sz="0" w:space="0" w:color="auto"/>
            <w:bottom w:val="none" w:sz="0" w:space="0" w:color="auto"/>
            <w:right w:val="none" w:sz="0" w:space="0" w:color="auto"/>
          </w:divBdr>
        </w:div>
        <w:div w:id="193427340">
          <w:marLeft w:val="0"/>
          <w:marRight w:val="0"/>
          <w:marTop w:val="0"/>
          <w:marBottom w:val="0"/>
          <w:divBdr>
            <w:top w:val="none" w:sz="0" w:space="0" w:color="auto"/>
            <w:left w:val="none" w:sz="0" w:space="0" w:color="auto"/>
            <w:bottom w:val="none" w:sz="0" w:space="0" w:color="auto"/>
            <w:right w:val="none" w:sz="0" w:space="0" w:color="auto"/>
          </w:divBdr>
        </w:div>
        <w:div w:id="1716735432">
          <w:marLeft w:val="0"/>
          <w:marRight w:val="0"/>
          <w:marTop w:val="0"/>
          <w:marBottom w:val="0"/>
          <w:divBdr>
            <w:top w:val="none" w:sz="0" w:space="0" w:color="auto"/>
            <w:left w:val="none" w:sz="0" w:space="0" w:color="auto"/>
            <w:bottom w:val="none" w:sz="0" w:space="0" w:color="auto"/>
            <w:right w:val="none" w:sz="0" w:space="0" w:color="auto"/>
          </w:divBdr>
        </w:div>
        <w:div w:id="191307160">
          <w:marLeft w:val="0"/>
          <w:marRight w:val="0"/>
          <w:marTop w:val="0"/>
          <w:marBottom w:val="0"/>
          <w:divBdr>
            <w:top w:val="none" w:sz="0" w:space="0" w:color="auto"/>
            <w:left w:val="none" w:sz="0" w:space="0" w:color="auto"/>
            <w:bottom w:val="none" w:sz="0" w:space="0" w:color="auto"/>
            <w:right w:val="none" w:sz="0" w:space="0" w:color="auto"/>
          </w:divBdr>
        </w:div>
        <w:div w:id="1519587168">
          <w:marLeft w:val="0"/>
          <w:marRight w:val="0"/>
          <w:marTop w:val="0"/>
          <w:marBottom w:val="0"/>
          <w:divBdr>
            <w:top w:val="none" w:sz="0" w:space="0" w:color="auto"/>
            <w:left w:val="none" w:sz="0" w:space="0" w:color="auto"/>
            <w:bottom w:val="none" w:sz="0" w:space="0" w:color="auto"/>
            <w:right w:val="none" w:sz="0" w:space="0" w:color="auto"/>
          </w:divBdr>
        </w:div>
        <w:div w:id="1888712571">
          <w:marLeft w:val="0"/>
          <w:marRight w:val="0"/>
          <w:marTop w:val="0"/>
          <w:marBottom w:val="0"/>
          <w:divBdr>
            <w:top w:val="none" w:sz="0" w:space="0" w:color="auto"/>
            <w:left w:val="none" w:sz="0" w:space="0" w:color="auto"/>
            <w:bottom w:val="none" w:sz="0" w:space="0" w:color="auto"/>
            <w:right w:val="none" w:sz="0" w:space="0" w:color="auto"/>
          </w:divBdr>
        </w:div>
      </w:divsChild>
    </w:div>
    <w:div w:id="1271351032">
      <w:bodyDiv w:val="1"/>
      <w:marLeft w:val="0"/>
      <w:marRight w:val="0"/>
      <w:marTop w:val="0"/>
      <w:marBottom w:val="0"/>
      <w:divBdr>
        <w:top w:val="none" w:sz="0" w:space="0" w:color="auto"/>
        <w:left w:val="none" w:sz="0" w:space="0" w:color="auto"/>
        <w:bottom w:val="none" w:sz="0" w:space="0" w:color="auto"/>
        <w:right w:val="none" w:sz="0" w:space="0" w:color="auto"/>
      </w:divBdr>
      <w:divsChild>
        <w:div w:id="578170773">
          <w:marLeft w:val="0"/>
          <w:marRight w:val="0"/>
          <w:marTop w:val="0"/>
          <w:marBottom w:val="0"/>
          <w:divBdr>
            <w:top w:val="none" w:sz="0" w:space="0" w:color="auto"/>
            <w:left w:val="none" w:sz="0" w:space="0" w:color="auto"/>
            <w:bottom w:val="none" w:sz="0" w:space="0" w:color="auto"/>
            <w:right w:val="none" w:sz="0" w:space="0" w:color="auto"/>
          </w:divBdr>
        </w:div>
        <w:div w:id="1927575291">
          <w:marLeft w:val="0"/>
          <w:marRight w:val="0"/>
          <w:marTop w:val="0"/>
          <w:marBottom w:val="0"/>
          <w:divBdr>
            <w:top w:val="none" w:sz="0" w:space="0" w:color="auto"/>
            <w:left w:val="none" w:sz="0" w:space="0" w:color="auto"/>
            <w:bottom w:val="none" w:sz="0" w:space="0" w:color="auto"/>
            <w:right w:val="none" w:sz="0" w:space="0" w:color="auto"/>
          </w:divBdr>
        </w:div>
        <w:div w:id="668824277">
          <w:marLeft w:val="0"/>
          <w:marRight w:val="0"/>
          <w:marTop w:val="0"/>
          <w:marBottom w:val="0"/>
          <w:divBdr>
            <w:top w:val="none" w:sz="0" w:space="0" w:color="auto"/>
            <w:left w:val="none" w:sz="0" w:space="0" w:color="auto"/>
            <w:bottom w:val="none" w:sz="0" w:space="0" w:color="auto"/>
            <w:right w:val="none" w:sz="0" w:space="0" w:color="auto"/>
          </w:divBdr>
        </w:div>
        <w:div w:id="249779487">
          <w:marLeft w:val="0"/>
          <w:marRight w:val="0"/>
          <w:marTop w:val="0"/>
          <w:marBottom w:val="0"/>
          <w:divBdr>
            <w:top w:val="none" w:sz="0" w:space="0" w:color="auto"/>
            <w:left w:val="none" w:sz="0" w:space="0" w:color="auto"/>
            <w:bottom w:val="none" w:sz="0" w:space="0" w:color="auto"/>
            <w:right w:val="none" w:sz="0" w:space="0" w:color="auto"/>
          </w:divBdr>
        </w:div>
        <w:div w:id="546264041">
          <w:marLeft w:val="0"/>
          <w:marRight w:val="0"/>
          <w:marTop w:val="0"/>
          <w:marBottom w:val="0"/>
          <w:divBdr>
            <w:top w:val="none" w:sz="0" w:space="0" w:color="auto"/>
            <w:left w:val="none" w:sz="0" w:space="0" w:color="auto"/>
            <w:bottom w:val="none" w:sz="0" w:space="0" w:color="auto"/>
            <w:right w:val="none" w:sz="0" w:space="0" w:color="auto"/>
          </w:divBdr>
        </w:div>
        <w:div w:id="701173673">
          <w:marLeft w:val="0"/>
          <w:marRight w:val="0"/>
          <w:marTop w:val="0"/>
          <w:marBottom w:val="0"/>
          <w:divBdr>
            <w:top w:val="none" w:sz="0" w:space="0" w:color="auto"/>
            <w:left w:val="none" w:sz="0" w:space="0" w:color="auto"/>
            <w:bottom w:val="none" w:sz="0" w:space="0" w:color="auto"/>
            <w:right w:val="none" w:sz="0" w:space="0" w:color="auto"/>
          </w:divBdr>
        </w:div>
        <w:div w:id="1177160953">
          <w:marLeft w:val="0"/>
          <w:marRight w:val="0"/>
          <w:marTop w:val="0"/>
          <w:marBottom w:val="0"/>
          <w:divBdr>
            <w:top w:val="none" w:sz="0" w:space="0" w:color="auto"/>
            <w:left w:val="none" w:sz="0" w:space="0" w:color="auto"/>
            <w:bottom w:val="none" w:sz="0" w:space="0" w:color="auto"/>
            <w:right w:val="none" w:sz="0" w:space="0" w:color="auto"/>
          </w:divBdr>
        </w:div>
        <w:div w:id="1225292174">
          <w:marLeft w:val="0"/>
          <w:marRight w:val="0"/>
          <w:marTop w:val="0"/>
          <w:marBottom w:val="0"/>
          <w:divBdr>
            <w:top w:val="none" w:sz="0" w:space="0" w:color="auto"/>
            <w:left w:val="none" w:sz="0" w:space="0" w:color="auto"/>
            <w:bottom w:val="none" w:sz="0" w:space="0" w:color="auto"/>
            <w:right w:val="none" w:sz="0" w:space="0" w:color="auto"/>
          </w:divBdr>
        </w:div>
        <w:div w:id="1543057050">
          <w:marLeft w:val="0"/>
          <w:marRight w:val="0"/>
          <w:marTop w:val="0"/>
          <w:marBottom w:val="0"/>
          <w:divBdr>
            <w:top w:val="none" w:sz="0" w:space="0" w:color="auto"/>
            <w:left w:val="none" w:sz="0" w:space="0" w:color="auto"/>
            <w:bottom w:val="none" w:sz="0" w:space="0" w:color="auto"/>
            <w:right w:val="none" w:sz="0" w:space="0" w:color="auto"/>
          </w:divBdr>
        </w:div>
        <w:div w:id="1397968970">
          <w:marLeft w:val="0"/>
          <w:marRight w:val="0"/>
          <w:marTop w:val="0"/>
          <w:marBottom w:val="0"/>
          <w:divBdr>
            <w:top w:val="none" w:sz="0" w:space="0" w:color="auto"/>
            <w:left w:val="none" w:sz="0" w:space="0" w:color="auto"/>
            <w:bottom w:val="none" w:sz="0" w:space="0" w:color="auto"/>
            <w:right w:val="none" w:sz="0" w:space="0" w:color="auto"/>
          </w:divBdr>
        </w:div>
        <w:div w:id="1451778946">
          <w:marLeft w:val="0"/>
          <w:marRight w:val="0"/>
          <w:marTop w:val="0"/>
          <w:marBottom w:val="0"/>
          <w:divBdr>
            <w:top w:val="none" w:sz="0" w:space="0" w:color="auto"/>
            <w:left w:val="none" w:sz="0" w:space="0" w:color="auto"/>
            <w:bottom w:val="none" w:sz="0" w:space="0" w:color="auto"/>
            <w:right w:val="none" w:sz="0" w:space="0" w:color="auto"/>
          </w:divBdr>
        </w:div>
        <w:div w:id="362826100">
          <w:marLeft w:val="0"/>
          <w:marRight w:val="0"/>
          <w:marTop w:val="0"/>
          <w:marBottom w:val="0"/>
          <w:divBdr>
            <w:top w:val="none" w:sz="0" w:space="0" w:color="auto"/>
            <w:left w:val="none" w:sz="0" w:space="0" w:color="auto"/>
            <w:bottom w:val="none" w:sz="0" w:space="0" w:color="auto"/>
            <w:right w:val="none" w:sz="0" w:space="0" w:color="auto"/>
          </w:divBdr>
        </w:div>
        <w:div w:id="1970865874">
          <w:marLeft w:val="0"/>
          <w:marRight w:val="0"/>
          <w:marTop w:val="0"/>
          <w:marBottom w:val="0"/>
          <w:divBdr>
            <w:top w:val="none" w:sz="0" w:space="0" w:color="auto"/>
            <w:left w:val="none" w:sz="0" w:space="0" w:color="auto"/>
            <w:bottom w:val="none" w:sz="0" w:space="0" w:color="auto"/>
            <w:right w:val="none" w:sz="0" w:space="0" w:color="auto"/>
          </w:divBdr>
        </w:div>
        <w:div w:id="647513082">
          <w:marLeft w:val="0"/>
          <w:marRight w:val="0"/>
          <w:marTop w:val="0"/>
          <w:marBottom w:val="0"/>
          <w:divBdr>
            <w:top w:val="none" w:sz="0" w:space="0" w:color="auto"/>
            <w:left w:val="none" w:sz="0" w:space="0" w:color="auto"/>
            <w:bottom w:val="none" w:sz="0" w:space="0" w:color="auto"/>
            <w:right w:val="none" w:sz="0" w:space="0" w:color="auto"/>
          </w:divBdr>
        </w:div>
        <w:div w:id="1994990920">
          <w:marLeft w:val="0"/>
          <w:marRight w:val="0"/>
          <w:marTop w:val="0"/>
          <w:marBottom w:val="0"/>
          <w:divBdr>
            <w:top w:val="none" w:sz="0" w:space="0" w:color="auto"/>
            <w:left w:val="none" w:sz="0" w:space="0" w:color="auto"/>
            <w:bottom w:val="none" w:sz="0" w:space="0" w:color="auto"/>
            <w:right w:val="none" w:sz="0" w:space="0" w:color="auto"/>
          </w:divBdr>
        </w:div>
        <w:div w:id="1404376853">
          <w:marLeft w:val="0"/>
          <w:marRight w:val="0"/>
          <w:marTop w:val="0"/>
          <w:marBottom w:val="0"/>
          <w:divBdr>
            <w:top w:val="none" w:sz="0" w:space="0" w:color="auto"/>
            <w:left w:val="none" w:sz="0" w:space="0" w:color="auto"/>
            <w:bottom w:val="none" w:sz="0" w:space="0" w:color="auto"/>
            <w:right w:val="none" w:sz="0" w:space="0" w:color="auto"/>
          </w:divBdr>
        </w:div>
        <w:div w:id="530606548">
          <w:marLeft w:val="0"/>
          <w:marRight w:val="0"/>
          <w:marTop w:val="0"/>
          <w:marBottom w:val="0"/>
          <w:divBdr>
            <w:top w:val="none" w:sz="0" w:space="0" w:color="auto"/>
            <w:left w:val="none" w:sz="0" w:space="0" w:color="auto"/>
            <w:bottom w:val="none" w:sz="0" w:space="0" w:color="auto"/>
            <w:right w:val="none" w:sz="0" w:space="0" w:color="auto"/>
          </w:divBdr>
        </w:div>
        <w:div w:id="447548622">
          <w:marLeft w:val="0"/>
          <w:marRight w:val="0"/>
          <w:marTop w:val="0"/>
          <w:marBottom w:val="0"/>
          <w:divBdr>
            <w:top w:val="none" w:sz="0" w:space="0" w:color="auto"/>
            <w:left w:val="none" w:sz="0" w:space="0" w:color="auto"/>
            <w:bottom w:val="none" w:sz="0" w:space="0" w:color="auto"/>
            <w:right w:val="none" w:sz="0" w:space="0" w:color="auto"/>
          </w:divBdr>
        </w:div>
        <w:div w:id="994383256">
          <w:marLeft w:val="0"/>
          <w:marRight w:val="0"/>
          <w:marTop w:val="0"/>
          <w:marBottom w:val="0"/>
          <w:divBdr>
            <w:top w:val="none" w:sz="0" w:space="0" w:color="auto"/>
            <w:left w:val="none" w:sz="0" w:space="0" w:color="auto"/>
            <w:bottom w:val="none" w:sz="0" w:space="0" w:color="auto"/>
            <w:right w:val="none" w:sz="0" w:space="0" w:color="auto"/>
          </w:divBdr>
        </w:div>
        <w:div w:id="1998918122">
          <w:marLeft w:val="0"/>
          <w:marRight w:val="0"/>
          <w:marTop w:val="0"/>
          <w:marBottom w:val="0"/>
          <w:divBdr>
            <w:top w:val="none" w:sz="0" w:space="0" w:color="auto"/>
            <w:left w:val="none" w:sz="0" w:space="0" w:color="auto"/>
            <w:bottom w:val="none" w:sz="0" w:space="0" w:color="auto"/>
            <w:right w:val="none" w:sz="0" w:space="0" w:color="auto"/>
          </w:divBdr>
        </w:div>
        <w:div w:id="962492530">
          <w:marLeft w:val="0"/>
          <w:marRight w:val="0"/>
          <w:marTop w:val="0"/>
          <w:marBottom w:val="0"/>
          <w:divBdr>
            <w:top w:val="none" w:sz="0" w:space="0" w:color="auto"/>
            <w:left w:val="none" w:sz="0" w:space="0" w:color="auto"/>
            <w:bottom w:val="none" w:sz="0" w:space="0" w:color="auto"/>
            <w:right w:val="none" w:sz="0" w:space="0" w:color="auto"/>
          </w:divBdr>
        </w:div>
        <w:div w:id="1725332944">
          <w:marLeft w:val="0"/>
          <w:marRight w:val="0"/>
          <w:marTop w:val="0"/>
          <w:marBottom w:val="0"/>
          <w:divBdr>
            <w:top w:val="none" w:sz="0" w:space="0" w:color="auto"/>
            <w:left w:val="none" w:sz="0" w:space="0" w:color="auto"/>
            <w:bottom w:val="none" w:sz="0" w:space="0" w:color="auto"/>
            <w:right w:val="none" w:sz="0" w:space="0" w:color="auto"/>
          </w:divBdr>
        </w:div>
      </w:divsChild>
    </w:div>
    <w:div w:id="1305968135">
      <w:bodyDiv w:val="1"/>
      <w:marLeft w:val="0"/>
      <w:marRight w:val="0"/>
      <w:marTop w:val="0"/>
      <w:marBottom w:val="0"/>
      <w:divBdr>
        <w:top w:val="none" w:sz="0" w:space="0" w:color="auto"/>
        <w:left w:val="none" w:sz="0" w:space="0" w:color="auto"/>
        <w:bottom w:val="none" w:sz="0" w:space="0" w:color="auto"/>
        <w:right w:val="none" w:sz="0" w:space="0" w:color="auto"/>
      </w:divBdr>
    </w:div>
    <w:div w:id="1312363434">
      <w:bodyDiv w:val="1"/>
      <w:marLeft w:val="0"/>
      <w:marRight w:val="0"/>
      <w:marTop w:val="0"/>
      <w:marBottom w:val="0"/>
      <w:divBdr>
        <w:top w:val="none" w:sz="0" w:space="0" w:color="auto"/>
        <w:left w:val="none" w:sz="0" w:space="0" w:color="auto"/>
        <w:bottom w:val="none" w:sz="0" w:space="0" w:color="auto"/>
        <w:right w:val="none" w:sz="0" w:space="0" w:color="auto"/>
      </w:divBdr>
      <w:divsChild>
        <w:div w:id="915897320">
          <w:marLeft w:val="0"/>
          <w:marRight w:val="0"/>
          <w:marTop w:val="0"/>
          <w:marBottom w:val="0"/>
          <w:divBdr>
            <w:top w:val="none" w:sz="0" w:space="0" w:color="auto"/>
            <w:left w:val="none" w:sz="0" w:space="0" w:color="auto"/>
            <w:bottom w:val="none" w:sz="0" w:space="0" w:color="auto"/>
            <w:right w:val="none" w:sz="0" w:space="0" w:color="auto"/>
          </w:divBdr>
        </w:div>
        <w:div w:id="834803098">
          <w:marLeft w:val="0"/>
          <w:marRight w:val="0"/>
          <w:marTop w:val="0"/>
          <w:marBottom w:val="0"/>
          <w:divBdr>
            <w:top w:val="none" w:sz="0" w:space="0" w:color="auto"/>
            <w:left w:val="none" w:sz="0" w:space="0" w:color="auto"/>
            <w:bottom w:val="none" w:sz="0" w:space="0" w:color="auto"/>
            <w:right w:val="none" w:sz="0" w:space="0" w:color="auto"/>
          </w:divBdr>
        </w:div>
        <w:div w:id="1160804690">
          <w:marLeft w:val="0"/>
          <w:marRight w:val="0"/>
          <w:marTop w:val="0"/>
          <w:marBottom w:val="0"/>
          <w:divBdr>
            <w:top w:val="none" w:sz="0" w:space="0" w:color="auto"/>
            <w:left w:val="none" w:sz="0" w:space="0" w:color="auto"/>
            <w:bottom w:val="none" w:sz="0" w:space="0" w:color="auto"/>
            <w:right w:val="none" w:sz="0" w:space="0" w:color="auto"/>
          </w:divBdr>
        </w:div>
        <w:div w:id="1709723093">
          <w:marLeft w:val="0"/>
          <w:marRight w:val="0"/>
          <w:marTop w:val="0"/>
          <w:marBottom w:val="0"/>
          <w:divBdr>
            <w:top w:val="none" w:sz="0" w:space="0" w:color="auto"/>
            <w:left w:val="none" w:sz="0" w:space="0" w:color="auto"/>
            <w:bottom w:val="none" w:sz="0" w:space="0" w:color="auto"/>
            <w:right w:val="none" w:sz="0" w:space="0" w:color="auto"/>
          </w:divBdr>
        </w:div>
        <w:div w:id="68577234">
          <w:marLeft w:val="0"/>
          <w:marRight w:val="0"/>
          <w:marTop w:val="0"/>
          <w:marBottom w:val="0"/>
          <w:divBdr>
            <w:top w:val="none" w:sz="0" w:space="0" w:color="auto"/>
            <w:left w:val="none" w:sz="0" w:space="0" w:color="auto"/>
            <w:bottom w:val="none" w:sz="0" w:space="0" w:color="auto"/>
            <w:right w:val="none" w:sz="0" w:space="0" w:color="auto"/>
          </w:divBdr>
        </w:div>
        <w:div w:id="150172485">
          <w:marLeft w:val="0"/>
          <w:marRight w:val="0"/>
          <w:marTop w:val="0"/>
          <w:marBottom w:val="0"/>
          <w:divBdr>
            <w:top w:val="none" w:sz="0" w:space="0" w:color="auto"/>
            <w:left w:val="none" w:sz="0" w:space="0" w:color="auto"/>
            <w:bottom w:val="none" w:sz="0" w:space="0" w:color="auto"/>
            <w:right w:val="none" w:sz="0" w:space="0" w:color="auto"/>
          </w:divBdr>
        </w:div>
        <w:div w:id="904994971">
          <w:marLeft w:val="0"/>
          <w:marRight w:val="0"/>
          <w:marTop w:val="0"/>
          <w:marBottom w:val="0"/>
          <w:divBdr>
            <w:top w:val="none" w:sz="0" w:space="0" w:color="auto"/>
            <w:left w:val="none" w:sz="0" w:space="0" w:color="auto"/>
            <w:bottom w:val="none" w:sz="0" w:space="0" w:color="auto"/>
            <w:right w:val="none" w:sz="0" w:space="0" w:color="auto"/>
          </w:divBdr>
        </w:div>
        <w:div w:id="2108693157">
          <w:marLeft w:val="0"/>
          <w:marRight w:val="0"/>
          <w:marTop w:val="0"/>
          <w:marBottom w:val="0"/>
          <w:divBdr>
            <w:top w:val="none" w:sz="0" w:space="0" w:color="auto"/>
            <w:left w:val="none" w:sz="0" w:space="0" w:color="auto"/>
            <w:bottom w:val="none" w:sz="0" w:space="0" w:color="auto"/>
            <w:right w:val="none" w:sz="0" w:space="0" w:color="auto"/>
          </w:divBdr>
        </w:div>
        <w:div w:id="1324120608">
          <w:marLeft w:val="0"/>
          <w:marRight w:val="0"/>
          <w:marTop w:val="0"/>
          <w:marBottom w:val="0"/>
          <w:divBdr>
            <w:top w:val="none" w:sz="0" w:space="0" w:color="auto"/>
            <w:left w:val="none" w:sz="0" w:space="0" w:color="auto"/>
            <w:bottom w:val="none" w:sz="0" w:space="0" w:color="auto"/>
            <w:right w:val="none" w:sz="0" w:space="0" w:color="auto"/>
          </w:divBdr>
        </w:div>
        <w:div w:id="1203401075">
          <w:marLeft w:val="0"/>
          <w:marRight w:val="0"/>
          <w:marTop w:val="0"/>
          <w:marBottom w:val="0"/>
          <w:divBdr>
            <w:top w:val="none" w:sz="0" w:space="0" w:color="auto"/>
            <w:left w:val="none" w:sz="0" w:space="0" w:color="auto"/>
            <w:bottom w:val="none" w:sz="0" w:space="0" w:color="auto"/>
            <w:right w:val="none" w:sz="0" w:space="0" w:color="auto"/>
          </w:divBdr>
        </w:div>
        <w:div w:id="2081055818">
          <w:marLeft w:val="0"/>
          <w:marRight w:val="0"/>
          <w:marTop w:val="0"/>
          <w:marBottom w:val="0"/>
          <w:divBdr>
            <w:top w:val="none" w:sz="0" w:space="0" w:color="auto"/>
            <w:left w:val="none" w:sz="0" w:space="0" w:color="auto"/>
            <w:bottom w:val="none" w:sz="0" w:space="0" w:color="auto"/>
            <w:right w:val="none" w:sz="0" w:space="0" w:color="auto"/>
          </w:divBdr>
        </w:div>
        <w:div w:id="419523783">
          <w:marLeft w:val="0"/>
          <w:marRight w:val="0"/>
          <w:marTop w:val="0"/>
          <w:marBottom w:val="0"/>
          <w:divBdr>
            <w:top w:val="none" w:sz="0" w:space="0" w:color="auto"/>
            <w:left w:val="none" w:sz="0" w:space="0" w:color="auto"/>
            <w:bottom w:val="none" w:sz="0" w:space="0" w:color="auto"/>
            <w:right w:val="none" w:sz="0" w:space="0" w:color="auto"/>
          </w:divBdr>
        </w:div>
        <w:div w:id="885072107">
          <w:marLeft w:val="0"/>
          <w:marRight w:val="0"/>
          <w:marTop w:val="0"/>
          <w:marBottom w:val="0"/>
          <w:divBdr>
            <w:top w:val="none" w:sz="0" w:space="0" w:color="auto"/>
            <w:left w:val="none" w:sz="0" w:space="0" w:color="auto"/>
            <w:bottom w:val="none" w:sz="0" w:space="0" w:color="auto"/>
            <w:right w:val="none" w:sz="0" w:space="0" w:color="auto"/>
          </w:divBdr>
        </w:div>
        <w:div w:id="1477146495">
          <w:marLeft w:val="0"/>
          <w:marRight w:val="0"/>
          <w:marTop w:val="0"/>
          <w:marBottom w:val="0"/>
          <w:divBdr>
            <w:top w:val="none" w:sz="0" w:space="0" w:color="auto"/>
            <w:left w:val="none" w:sz="0" w:space="0" w:color="auto"/>
            <w:bottom w:val="none" w:sz="0" w:space="0" w:color="auto"/>
            <w:right w:val="none" w:sz="0" w:space="0" w:color="auto"/>
          </w:divBdr>
        </w:div>
        <w:div w:id="1789009911">
          <w:marLeft w:val="0"/>
          <w:marRight w:val="0"/>
          <w:marTop w:val="0"/>
          <w:marBottom w:val="0"/>
          <w:divBdr>
            <w:top w:val="none" w:sz="0" w:space="0" w:color="auto"/>
            <w:left w:val="none" w:sz="0" w:space="0" w:color="auto"/>
            <w:bottom w:val="none" w:sz="0" w:space="0" w:color="auto"/>
            <w:right w:val="none" w:sz="0" w:space="0" w:color="auto"/>
          </w:divBdr>
        </w:div>
        <w:div w:id="1328053843">
          <w:marLeft w:val="0"/>
          <w:marRight w:val="0"/>
          <w:marTop w:val="0"/>
          <w:marBottom w:val="0"/>
          <w:divBdr>
            <w:top w:val="none" w:sz="0" w:space="0" w:color="auto"/>
            <w:left w:val="none" w:sz="0" w:space="0" w:color="auto"/>
            <w:bottom w:val="none" w:sz="0" w:space="0" w:color="auto"/>
            <w:right w:val="none" w:sz="0" w:space="0" w:color="auto"/>
          </w:divBdr>
        </w:div>
        <w:div w:id="1552569099">
          <w:marLeft w:val="0"/>
          <w:marRight w:val="0"/>
          <w:marTop w:val="0"/>
          <w:marBottom w:val="0"/>
          <w:divBdr>
            <w:top w:val="none" w:sz="0" w:space="0" w:color="auto"/>
            <w:left w:val="none" w:sz="0" w:space="0" w:color="auto"/>
            <w:bottom w:val="none" w:sz="0" w:space="0" w:color="auto"/>
            <w:right w:val="none" w:sz="0" w:space="0" w:color="auto"/>
          </w:divBdr>
        </w:div>
        <w:div w:id="2103408148">
          <w:marLeft w:val="0"/>
          <w:marRight w:val="0"/>
          <w:marTop w:val="0"/>
          <w:marBottom w:val="0"/>
          <w:divBdr>
            <w:top w:val="none" w:sz="0" w:space="0" w:color="auto"/>
            <w:left w:val="none" w:sz="0" w:space="0" w:color="auto"/>
            <w:bottom w:val="none" w:sz="0" w:space="0" w:color="auto"/>
            <w:right w:val="none" w:sz="0" w:space="0" w:color="auto"/>
          </w:divBdr>
        </w:div>
        <w:div w:id="432020257">
          <w:marLeft w:val="0"/>
          <w:marRight w:val="0"/>
          <w:marTop w:val="0"/>
          <w:marBottom w:val="0"/>
          <w:divBdr>
            <w:top w:val="none" w:sz="0" w:space="0" w:color="auto"/>
            <w:left w:val="none" w:sz="0" w:space="0" w:color="auto"/>
            <w:bottom w:val="none" w:sz="0" w:space="0" w:color="auto"/>
            <w:right w:val="none" w:sz="0" w:space="0" w:color="auto"/>
          </w:divBdr>
        </w:div>
      </w:divsChild>
    </w:div>
    <w:div w:id="1314749372">
      <w:bodyDiv w:val="1"/>
      <w:marLeft w:val="0"/>
      <w:marRight w:val="0"/>
      <w:marTop w:val="0"/>
      <w:marBottom w:val="0"/>
      <w:divBdr>
        <w:top w:val="none" w:sz="0" w:space="0" w:color="auto"/>
        <w:left w:val="none" w:sz="0" w:space="0" w:color="auto"/>
        <w:bottom w:val="none" w:sz="0" w:space="0" w:color="auto"/>
        <w:right w:val="none" w:sz="0" w:space="0" w:color="auto"/>
      </w:divBdr>
      <w:divsChild>
        <w:div w:id="1355039761">
          <w:marLeft w:val="0"/>
          <w:marRight w:val="0"/>
          <w:marTop w:val="0"/>
          <w:marBottom w:val="0"/>
          <w:divBdr>
            <w:top w:val="none" w:sz="0" w:space="0" w:color="auto"/>
            <w:left w:val="none" w:sz="0" w:space="0" w:color="auto"/>
            <w:bottom w:val="none" w:sz="0" w:space="0" w:color="auto"/>
            <w:right w:val="none" w:sz="0" w:space="0" w:color="auto"/>
          </w:divBdr>
        </w:div>
        <w:div w:id="1863784833">
          <w:marLeft w:val="0"/>
          <w:marRight w:val="0"/>
          <w:marTop w:val="0"/>
          <w:marBottom w:val="0"/>
          <w:divBdr>
            <w:top w:val="none" w:sz="0" w:space="0" w:color="auto"/>
            <w:left w:val="none" w:sz="0" w:space="0" w:color="auto"/>
            <w:bottom w:val="none" w:sz="0" w:space="0" w:color="auto"/>
            <w:right w:val="none" w:sz="0" w:space="0" w:color="auto"/>
          </w:divBdr>
        </w:div>
        <w:div w:id="1897013963">
          <w:marLeft w:val="0"/>
          <w:marRight w:val="0"/>
          <w:marTop w:val="0"/>
          <w:marBottom w:val="0"/>
          <w:divBdr>
            <w:top w:val="none" w:sz="0" w:space="0" w:color="auto"/>
            <w:left w:val="none" w:sz="0" w:space="0" w:color="auto"/>
            <w:bottom w:val="none" w:sz="0" w:space="0" w:color="auto"/>
            <w:right w:val="none" w:sz="0" w:space="0" w:color="auto"/>
          </w:divBdr>
        </w:div>
        <w:div w:id="1733697242">
          <w:marLeft w:val="0"/>
          <w:marRight w:val="0"/>
          <w:marTop w:val="0"/>
          <w:marBottom w:val="0"/>
          <w:divBdr>
            <w:top w:val="none" w:sz="0" w:space="0" w:color="auto"/>
            <w:left w:val="none" w:sz="0" w:space="0" w:color="auto"/>
            <w:bottom w:val="none" w:sz="0" w:space="0" w:color="auto"/>
            <w:right w:val="none" w:sz="0" w:space="0" w:color="auto"/>
          </w:divBdr>
        </w:div>
        <w:div w:id="347874611">
          <w:marLeft w:val="0"/>
          <w:marRight w:val="0"/>
          <w:marTop w:val="0"/>
          <w:marBottom w:val="0"/>
          <w:divBdr>
            <w:top w:val="none" w:sz="0" w:space="0" w:color="auto"/>
            <w:left w:val="none" w:sz="0" w:space="0" w:color="auto"/>
            <w:bottom w:val="none" w:sz="0" w:space="0" w:color="auto"/>
            <w:right w:val="none" w:sz="0" w:space="0" w:color="auto"/>
          </w:divBdr>
        </w:div>
        <w:div w:id="471098361">
          <w:marLeft w:val="0"/>
          <w:marRight w:val="0"/>
          <w:marTop w:val="0"/>
          <w:marBottom w:val="0"/>
          <w:divBdr>
            <w:top w:val="none" w:sz="0" w:space="0" w:color="auto"/>
            <w:left w:val="none" w:sz="0" w:space="0" w:color="auto"/>
            <w:bottom w:val="none" w:sz="0" w:space="0" w:color="auto"/>
            <w:right w:val="none" w:sz="0" w:space="0" w:color="auto"/>
          </w:divBdr>
        </w:div>
        <w:div w:id="1847011390">
          <w:marLeft w:val="0"/>
          <w:marRight w:val="0"/>
          <w:marTop w:val="0"/>
          <w:marBottom w:val="0"/>
          <w:divBdr>
            <w:top w:val="none" w:sz="0" w:space="0" w:color="auto"/>
            <w:left w:val="none" w:sz="0" w:space="0" w:color="auto"/>
            <w:bottom w:val="none" w:sz="0" w:space="0" w:color="auto"/>
            <w:right w:val="none" w:sz="0" w:space="0" w:color="auto"/>
          </w:divBdr>
        </w:div>
        <w:div w:id="1921600332">
          <w:marLeft w:val="0"/>
          <w:marRight w:val="0"/>
          <w:marTop w:val="0"/>
          <w:marBottom w:val="0"/>
          <w:divBdr>
            <w:top w:val="none" w:sz="0" w:space="0" w:color="auto"/>
            <w:left w:val="none" w:sz="0" w:space="0" w:color="auto"/>
            <w:bottom w:val="none" w:sz="0" w:space="0" w:color="auto"/>
            <w:right w:val="none" w:sz="0" w:space="0" w:color="auto"/>
          </w:divBdr>
        </w:div>
        <w:div w:id="1219778103">
          <w:marLeft w:val="0"/>
          <w:marRight w:val="0"/>
          <w:marTop w:val="0"/>
          <w:marBottom w:val="0"/>
          <w:divBdr>
            <w:top w:val="none" w:sz="0" w:space="0" w:color="auto"/>
            <w:left w:val="none" w:sz="0" w:space="0" w:color="auto"/>
            <w:bottom w:val="none" w:sz="0" w:space="0" w:color="auto"/>
            <w:right w:val="none" w:sz="0" w:space="0" w:color="auto"/>
          </w:divBdr>
        </w:div>
        <w:div w:id="588778121">
          <w:marLeft w:val="0"/>
          <w:marRight w:val="0"/>
          <w:marTop w:val="0"/>
          <w:marBottom w:val="0"/>
          <w:divBdr>
            <w:top w:val="none" w:sz="0" w:space="0" w:color="auto"/>
            <w:left w:val="none" w:sz="0" w:space="0" w:color="auto"/>
            <w:bottom w:val="none" w:sz="0" w:space="0" w:color="auto"/>
            <w:right w:val="none" w:sz="0" w:space="0" w:color="auto"/>
          </w:divBdr>
        </w:div>
        <w:div w:id="710688463">
          <w:marLeft w:val="0"/>
          <w:marRight w:val="0"/>
          <w:marTop w:val="0"/>
          <w:marBottom w:val="0"/>
          <w:divBdr>
            <w:top w:val="none" w:sz="0" w:space="0" w:color="auto"/>
            <w:left w:val="none" w:sz="0" w:space="0" w:color="auto"/>
            <w:bottom w:val="none" w:sz="0" w:space="0" w:color="auto"/>
            <w:right w:val="none" w:sz="0" w:space="0" w:color="auto"/>
          </w:divBdr>
        </w:div>
        <w:div w:id="744838891">
          <w:marLeft w:val="0"/>
          <w:marRight w:val="0"/>
          <w:marTop w:val="0"/>
          <w:marBottom w:val="0"/>
          <w:divBdr>
            <w:top w:val="none" w:sz="0" w:space="0" w:color="auto"/>
            <w:left w:val="none" w:sz="0" w:space="0" w:color="auto"/>
            <w:bottom w:val="none" w:sz="0" w:space="0" w:color="auto"/>
            <w:right w:val="none" w:sz="0" w:space="0" w:color="auto"/>
          </w:divBdr>
        </w:div>
        <w:div w:id="152991296">
          <w:marLeft w:val="0"/>
          <w:marRight w:val="0"/>
          <w:marTop w:val="0"/>
          <w:marBottom w:val="0"/>
          <w:divBdr>
            <w:top w:val="none" w:sz="0" w:space="0" w:color="auto"/>
            <w:left w:val="none" w:sz="0" w:space="0" w:color="auto"/>
            <w:bottom w:val="none" w:sz="0" w:space="0" w:color="auto"/>
            <w:right w:val="none" w:sz="0" w:space="0" w:color="auto"/>
          </w:divBdr>
        </w:div>
        <w:div w:id="547424571">
          <w:marLeft w:val="0"/>
          <w:marRight w:val="0"/>
          <w:marTop w:val="0"/>
          <w:marBottom w:val="0"/>
          <w:divBdr>
            <w:top w:val="none" w:sz="0" w:space="0" w:color="auto"/>
            <w:left w:val="none" w:sz="0" w:space="0" w:color="auto"/>
            <w:bottom w:val="none" w:sz="0" w:space="0" w:color="auto"/>
            <w:right w:val="none" w:sz="0" w:space="0" w:color="auto"/>
          </w:divBdr>
        </w:div>
        <w:div w:id="864564793">
          <w:marLeft w:val="0"/>
          <w:marRight w:val="0"/>
          <w:marTop w:val="0"/>
          <w:marBottom w:val="0"/>
          <w:divBdr>
            <w:top w:val="none" w:sz="0" w:space="0" w:color="auto"/>
            <w:left w:val="none" w:sz="0" w:space="0" w:color="auto"/>
            <w:bottom w:val="none" w:sz="0" w:space="0" w:color="auto"/>
            <w:right w:val="none" w:sz="0" w:space="0" w:color="auto"/>
          </w:divBdr>
        </w:div>
        <w:div w:id="1240411219">
          <w:marLeft w:val="0"/>
          <w:marRight w:val="0"/>
          <w:marTop w:val="0"/>
          <w:marBottom w:val="0"/>
          <w:divBdr>
            <w:top w:val="none" w:sz="0" w:space="0" w:color="auto"/>
            <w:left w:val="none" w:sz="0" w:space="0" w:color="auto"/>
            <w:bottom w:val="none" w:sz="0" w:space="0" w:color="auto"/>
            <w:right w:val="none" w:sz="0" w:space="0" w:color="auto"/>
          </w:divBdr>
        </w:div>
        <w:div w:id="130250854">
          <w:marLeft w:val="0"/>
          <w:marRight w:val="0"/>
          <w:marTop w:val="0"/>
          <w:marBottom w:val="0"/>
          <w:divBdr>
            <w:top w:val="none" w:sz="0" w:space="0" w:color="auto"/>
            <w:left w:val="none" w:sz="0" w:space="0" w:color="auto"/>
            <w:bottom w:val="none" w:sz="0" w:space="0" w:color="auto"/>
            <w:right w:val="none" w:sz="0" w:space="0" w:color="auto"/>
          </w:divBdr>
        </w:div>
        <w:div w:id="110319083">
          <w:marLeft w:val="0"/>
          <w:marRight w:val="0"/>
          <w:marTop w:val="0"/>
          <w:marBottom w:val="0"/>
          <w:divBdr>
            <w:top w:val="none" w:sz="0" w:space="0" w:color="auto"/>
            <w:left w:val="none" w:sz="0" w:space="0" w:color="auto"/>
            <w:bottom w:val="none" w:sz="0" w:space="0" w:color="auto"/>
            <w:right w:val="none" w:sz="0" w:space="0" w:color="auto"/>
          </w:divBdr>
        </w:div>
        <w:div w:id="910626652">
          <w:marLeft w:val="0"/>
          <w:marRight w:val="0"/>
          <w:marTop w:val="0"/>
          <w:marBottom w:val="0"/>
          <w:divBdr>
            <w:top w:val="none" w:sz="0" w:space="0" w:color="auto"/>
            <w:left w:val="none" w:sz="0" w:space="0" w:color="auto"/>
            <w:bottom w:val="none" w:sz="0" w:space="0" w:color="auto"/>
            <w:right w:val="none" w:sz="0" w:space="0" w:color="auto"/>
          </w:divBdr>
        </w:div>
      </w:divsChild>
    </w:div>
    <w:div w:id="1319577611">
      <w:bodyDiv w:val="1"/>
      <w:marLeft w:val="0"/>
      <w:marRight w:val="0"/>
      <w:marTop w:val="0"/>
      <w:marBottom w:val="0"/>
      <w:divBdr>
        <w:top w:val="none" w:sz="0" w:space="0" w:color="auto"/>
        <w:left w:val="none" w:sz="0" w:space="0" w:color="auto"/>
        <w:bottom w:val="none" w:sz="0" w:space="0" w:color="auto"/>
        <w:right w:val="none" w:sz="0" w:space="0" w:color="auto"/>
      </w:divBdr>
      <w:divsChild>
        <w:div w:id="686098080">
          <w:marLeft w:val="0"/>
          <w:marRight w:val="0"/>
          <w:marTop w:val="0"/>
          <w:marBottom w:val="0"/>
          <w:divBdr>
            <w:top w:val="none" w:sz="0" w:space="0" w:color="auto"/>
            <w:left w:val="none" w:sz="0" w:space="0" w:color="auto"/>
            <w:bottom w:val="none" w:sz="0" w:space="0" w:color="auto"/>
            <w:right w:val="none" w:sz="0" w:space="0" w:color="auto"/>
          </w:divBdr>
        </w:div>
        <w:div w:id="591158325">
          <w:marLeft w:val="0"/>
          <w:marRight w:val="0"/>
          <w:marTop w:val="0"/>
          <w:marBottom w:val="0"/>
          <w:divBdr>
            <w:top w:val="none" w:sz="0" w:space="0" w:color="auto"/>
            <w:left w:val="none" w:sz="0" w:space="0" w:color="auto"/>
            <w:bottom w:val="none" w:sz="0" w:space="0" w:color="auto"/>
            <w:right w:val="none" w:sz="0" w:space="0" w:color="auto"/>
          </w:divBdr>
        </w:div>
        <w:div w:id="1951083525">
          <w:marLeft w:val="0"/>
          <w:marRight w:val="0"/>
          <w:marTop w:val="0"/>
          <w:marBottom w:val="0"/>
          <w:divBdr>
            <w:top w:val="none" w:sz="0" w:space="0" w:color="auto"/>
            <w:left w:val="none" w:sz="0" w:space="0" w:color="auto"/>
            <w:bottom w:val="none" w:sz="0" w:space="0" w:color="auto"/>
            <w:right w:val="none" w:sz="0" w:space="0" w:color="auto"/>
          </w:divBdr>
        </w:div>
        <w:div w:id="1578320483">
          <w:marLeft w:val="0"/>
          <w:marRight w:val="0"/>
          <w:marTop w:val="0"/>
          <w:marBottom w:val="0"/>
          <w:divBdr>
            <w:top w:val="none" w:sz="0" w:space="0" w:color="auto"/>
            <w:left w:val="none" w:sz="0" w:space="0" w:color="auto"/>
            <w:bottom w:val="none" w:sz="0" w:space="0" w:color="auto"/>
            <w:right w:val="none" w:sz="0" w:space="0" w:color="auto"/>
          </w:divBdr>
        </w:div>
        <w:div w:id="1848398340">
          <w:marLeft w:val="0"/>
          <w:marRight w:val="0"/>
          <w:marTop w:val="0"/>
          <w:marBottom w:val="0"/>
          <w:divBdr>
            <w:top w:val="none" w:sz="0" w:space="0" w:color="auto"/>
            <w:left w:val="none" w:sz="0" w:space="0" w:color="auto"/>
            <w:bottom w:val="none" w:sz="0" w:space="0" w:color="auto"/>
            <w:right w:val="none" w:sz="0" w:space="0" w:color="auto"/>
          </w:divBdr>
        </w:div>
        <w:div w:id="1906715355">
          <w:marLeft w:val="0"/>
          <w:marRight w:val="0"/>
          <w:marTop w:val="0"/>
          <w:marBottom w:val="0"/>
          <w:divBdr>
            <w:top w:val="none" w:sz="0" w:space="0" w:color="auto"/>
            <w:left w:val="none" w:sz="0" w:space="0" w:color="auto"/>
            <w:bottom w:val="none" w:sz="0" w:space="0" w:color="auto"/>
            <w:right w:val="none" w:sz="0" w:space="0" w:color="auto"/>
          </w:divBdr>
        </w:div>
        <w:div w:id="499656311">
          <w:marLeft w:val="0"/>
          <w:marRight w:val="0"/>
          <w:marTop w:val="0"/>
          <w:marBottom w:val="0"/>
          <w:divBdr>
            <w:top w:val="none" w:sz="0" w:space="0" w:color="auto"/>
            <w:left w:val="none" w:sz="0" w:space="0" w:color="auto"/>
            <w:bottom w:val="none" w:sz="0" w:space="0" w:color="auto"/>
            <w:right w:val="none" w:sz="0" w:space="0" w:color="auto"/>
          </w:divBdr>
        </w:div>
        <w:div w:id="891503989">
          <w:marLeft w:val="0"/>
          <w:marRight w:val="0"/>
          <w:marTop w:val="0"/>
          <w:marBottom w:val="0"/>
          <w:divBdr>
            <w:top w:val="none" w:sz="0" w:space="0" w:color="auto"/>
            <w:left w:val="none" w:sz="0" w:space="0" w:color="auto"/>
            <w:bottom w:val="none" w:sz="0" w:space="0" w:color="auto"/>
            <w:right w:val="none" w:sz="0" w:space="0" w:color="auto"/>
          </w:divBdr>
        </w:div>
        <w:div w:id="879897369">
          <w:marLeft w:val="0"/>
          <w:marRight w:val="0"/>
          <w:marTop w:val="0"/>
          <w:marBottom w:val="0"/>
          <w:divBdr>
            <w:top w:val="none" w:sz="0" w:space="0" w:color="auto"/>
            <w:left w:val="none" w:sz="0" w:space="0" w:color="auto"/>
            <w:bottom w:val="none" w:sz="0" w:space="0" w:color="auto"/>
            <w:right w:val="none" w:sz="0" w:space="0" w:color="auto"/>
          </w:divBdr>
        </w:div>
        <w:div w:id="1660575339">
          <w:marLeft w:val="0"/>
          <w:marRight w:val="0"/>
          <w:marTop w:val="0"/>
          <w:marBottom w:val="0"/>
          <w:divBdr>
            <w:top w:val="none" w:sz="0" w:space="0" w:color="auto"/>
            <w:left w:val="none" w:sz="0" w:space="0" w:color="auto"/>
            <w:bottom w:val="none" w:sz="0" w:space="0" w:color="auto"/>
            <w:right w:val="none" w:sz="0" w:space="0" w:color="auto"/>
          </w:divBdr>
        </w:div>
        <w:div w:id="1519542844">
          <w:marLeft w:val="0"/>
          <w:marRight w:val="0"/>
          <w:marTop w:val="0"/>
          <w:marBottom w:val="0"/>
          <w:divBdr>
            <w:top w:val="none" w:sz="0" w:space="0" w:color="auto"/>
            <w:left w:val="none" w:sz="0" w:space="0" w:color="auto"/>
            <w:bottom w:val="none" w:sz="0" w:space="0" w:color="auto"/>
            <w:right w:val="none" w:sz="0" w:space="0" w:color="auto"/>
          </w:divBdr>
        </w:div>
        <w:div w:id="901211934">
          <w:marLeft w:val="0"/>
          <w:marRight w:val="0"/>
          <w:marTop w:val="0"/>
          <w:marBottom w:val="0"/>
          <w:divBdr>
            <w:top w:val="none" w:sz="0" w:space="0" w:color="auto"/>
            <w:left w:val="none" w:sz="0" w:space="0" w:color="auto"/>
            <w:bottom w:val="none" w:sz="0" w:space="0" w:color="auto"/>
            <w:right w:val="none" w:sz="0" w:space="0" w:color="auto"/>
          </w:divBdr>
        </w:div>
        <w:div w:id="151408704">
          <w:marLeft w:val="0"/>
          <w:marRight w:val="0"/>
          <w:marTop w:val="0"/>
          <w:marBottom w:val="0"/>
          <w:divBdr>
            <w:top w:val="none" w:sz="0" w:space="0" w:color="auto"/>
            <w:left w:val="none" w:sz="0" w:space="0" w:color="auto"/>
            <w:bottom w:val="none" w:sz="0" w:space="0" w:color="auto"/>
            <w:right w:val="none" w:sz="0" w:space="0" w:color="auto"/>
          </w:divBdr>
        </w:div>
        <w:div w:id="1401245308">
          <w:marLeft w:val="0"/>
          <w:marRight w:val="0"/>
          <w:marTop w:val="0"/>
          <w:marBottom w:val="0"/>
          <w:divBdr>
            <w:top w:val="none" w:sz="0" w:space="0" w:color="auto"/>
            <w:left w:val="none" w:sz="0" w:space="0" w:color="auto"/>
            <w:bottom w:val="none" w:sz="0" w:space="0" w:color="auto"/>
            <w:right w:val="none" w:sz="0" w:space="0" w:color="auto"/>
          </w:divBdr>
        </w:div>
        <w:div w:id="308557050">
          <w:marLeft w:val="0"/>
          <w:marRight w:val="0"/>
          <w:marTop w:val="0"/>
          <w:marBottom w:val="0"/>
          <w:divBdr>
            <w:top w:val="none" w:sz="0" w:space="0" w:color="auto"/>
            <w:left w:val="none" w:sz="0" w:space="0" w:color="auto"/>
            <w:bottom w:val="none" w:sz="0" w:space="0" w:color="auto"/>
            <w:right w:val="none" w:sz="0" w:space="0" w:color="auto"/>
          </w:divBdr>
        </w:div>
        <w:div w:id="1992833474">
          <w:marLeft w:val="0"/>
          <w:marRight w:val="0"/>
          <w:marTop w:val="0"/>
          <w:marBottom w:val="0"/>
          <w:divBdr>
            <w:top w:val="none" w:sz="0" w:space="0" w:color="auto"/>
            <w:left w:val="none" w:sz="0" w:space="0" w:color="auto"/>
            <w:bottom w:val="none" w:sz="0" w:space="0" w:color="auto"/>
            <w:right w:val="none" w:sz="0" w:space="0" w:color="auto"/>
          </w:divBdr>
        </w:div>
        <w:div w:id="1630044024">
          <w:marLeft w:val="0"/>
          <w:marRight w:val="0"/>
          <w:marTop w:val="0"/>
          <w:marBottom w:val="0"/>
          <w:divBdr>
            <w:top w:val="none" w:sz="0" w:space="0" w:color="auto"/>
            <w:left w:val="none" w:sz="0" w:space="0" w:color="auto"/>
            <w:bottom w:val="none" w:sz="0" w:space="0" w:color="auto"/>
            <w:right w:val="none" w:sz="0" w:space="0" w:color="auto"/>
          </w:divBdr>
        </w:div>
        <w:div w:id="1029985916">
          <w:marLeft w:val="0"/>
          <w:marRight w:val="0"/>
          <w:marTop w:val="0"/>
          <w:marBottom w:val="0"/>
          <w:divBdr>
            <w:top w:val="none" w:sz="0" w:space="0" w:color="auto"/>
            <w:left w:val="none" w:sz="0" w:space="0" w:color="auto"/>
            <w:bottom w:val="none" w:sz="0" w:space="0" w:color="auto"/>
            <w:right w:val="none" w:sz="0" w:space="0" w:color="auto"/>
          </w:divBdr>
        </w:div>
        <w:div w:id="110905965">
          <w:marLeft w:val="0"/>
          <w:marRight w:val="0"/>
          <w:marTop w:val="0"/>
          <w:marBottom w:val="0"/>
          <w:divBdr>
            <w:top w:val="none" w:sz="0" w:space="0" w:color="auto"/>
            <w:left w:val="none" w:sz="0" w:space="0" w:color="auto"/>
            <w:bottom w:val="none" w:sz="0" w:space="0" w:color="auto"/>
            <w:right w:val="none" w:sz="0" w:space="0" w:color="auto"/>
          </w:divBdr>
        </w:div>
      </w:divsChild>
    </w:div>
    <w:div w:id="1405031930">
      <w:bodyDiv w:val="1"/>
      <w:marLeft w:val="0"/>
      <w:marRight w:val="0"/>
      <w:marTop w:val="0"/>
      <w:marBottom w:val="0"/>
      <w:divBdr>
        <w:top w:val="none" w:sz="0" w:space="0" w:color="auto"/>
        <w:left w:val="none" w:sz="0" w:space="0" w:color="auto"/>
        <w:bottom w:val="none" w:sz="0" w:space="0" w:color="auto"/>
        <w:right w:val="none" w:sz="0" w:space="0" w:color="auto"/>
      </w:divBdr>
    </w:div>
    <w:div w:id="1416974638">
      <w:bodyDiv w:val="1"/>
      <w:marLeft w:val="0"/>
      <w:marRight w:val="0"/>
      <w:marTop w:val="0"/>
      <w:marBottom w:val="0"/>
      <w:divBdr>
        <w:top w:val="none" w:sz="0" w:space="0" w:color="auto"/>
        <w:left w:val="none" w:sz="0" w:space="0" w:color="auto"/>
        <w:bottom w:val="none" w:sz="0" w:space="0" w:color="auto"/>
        <w:right w:val="none" w:sz="0" w:space="0" w:color="auto"/>
      </w:divBdr>
      <w:divsChild>
        <w:div w:id="698702792">
          <w:marLeft w:val="0"/>
          <w:marRight w:val="0"/>
          <w:marTop w:val="0"/>
          <w:marBottom w:val="0"/>
          <w:divBdr>
            <w:top w:val="none" w:sz="0" w:space="0" w:color="auto"/>
            <w:left w:val="none" w:sz="0" w:space="0" w:color="auto"/>
            <w:bottom w:val="none" w:sz="0" w:space="0" w:color="auto"/>
            <w:right w:val="none" w:sz="0" w:space="0" w:color="auto"/>
          </w:divBdr>
        </w:div>
        <w:div w:id="882062455">
          <w:marLeft w:val="0"/>
          <w:marRight w:val="0"/>
          <w:marTop w:val="0"/>
          <w:marBottom w:val="0"/>
          <w:divBdr>
            <w:top w:val="none" w:sz="0" w:space="0" w:color="auto"/>
            <w:left w:val="none" w:sz="0" w:space="0" w:color="auto"/>
            <w:bottom w:val="none" w:sz="0" w:space="0" w:color="auto"/>
            <w:right w:val="none" w:sz="0" w:space="0" w:color="auto"/>
          </w:divBdr>
        </w:div>
        <w:div w:id="1230723671">
          <w:marLeft w:val="0"/>
          <w:marRight w:val="0"/>
          <w:marTop w:val="0"/>
          <w:marBottom w:val="0"/>
          <w:divBdr>
            <w:top w:val="none" w:sz="0" w:space="0" w:color="auto"/>
            <w:left w:val="none" w:sz="0" w:space="0" w:color="auto"/>
            <w:bottom w:val="none" w:sz="0" w:space="0" w:color="auto"/>
            <w:right w:val="none" w:sz="0" w:space="0" w:color="auto"/>
          </w:divBdr>
        </w:div>
        <w:div w:id="1326129794">
          <w:marLeft w:val="0"/>
          <w:marRight w:val="0"/>
          <w:marTop w:val="0"/>
          <w:marBottom w:val="0"/>
          <w:divBdr>
            <w:top w:val="none" w:sz="0" w:space="0" w:color="auto"/>
            <w:left w:val="none" w:sz="0" w:space="0" w:color="auto"/>
            <w:bottom w:val="none" w:sz="0" w:space="0" w:color="auto"/>
            <w:right w:val="none" w:sz="0" w:space="0" w:color="auto"/>
          </w:divBdr>
        </w:div>
        <w:div w:id="1795098608">
          <w:marLeft w:val="0"/>
          <w:marRight w:val="0"/>
          <w:marTop w:val="0"/>
          <w:marBottom w:val="0"/>
          <w:divBdr>
            <w:top w:val="none" w:sz="0" w:space="0" w:color="auto"/>
            <w:left w:val="none" w:sz="0" w:space="0" w:color="auto"/>
            <w:bottom w:val="none" w:sz="0" w:space="0" w:color="auto"/>
            <w:right w:val="none" w:sz="0" w:space="0" w:color="auto"/>
          </w:divBdr>
        </w:div>
        <w:div w:id="447243000">
          <w:marLeft w:val="0"/>
          <w:marRight w:val="0"/>
          <w:marTop w:val="0"/>
          <w:marBottom w:val="0"/>
          <w:divBdr>
            <w:top w:val="none" w:sz="0" w:space="0" w:color="auto"/>
            <w:left w:val="none" w:sz="0" w:space="0" w:color="auto"/>
            <w:bottom w:val="none" w:sz="0" w:space="0" w:color="auto"/>
            <w:right w:val="none" w:sz="0" w:space="0" w:color="auto"/>
          </w:divBdr>
        </w:div>
        <w:div w:id="1857649636">
          <w:marLeft w:val="0"/>
          <w:marRight w:val="0"/>
          <w:marTop w:val="0"/>
          <w:marBottom w:val="0"/>
          <w:divBdr>
            <w:top w:val="none" w:sz="0" w:space="0" w:color="auto"/>
            <w:left w:val="none" w:sz="0" w:space="0" w:color="auto"/>
            <w:bottom w:val="none" w:sz="0" w:space="0" w:color="auto"/>
            <w:right w:val="none" w:sz="0" w:space="0" w:color="auto"/>
          </w:divBdr>
        </w:div>
        <w:div w:id="206332381">
          <w:marLeft w:val="0"/>
          <w:marRight w:val="0"/>
          <w:marTop w:val="0"/>
          <w:marBottom w:val="0"/>
          <w:divBdr>
            <w:top w:val="none" w:sz="0" w:space="0" w:color="auto"/>
            <w:left w:val="none" w:sz="0" w:space="0" w:color="auto"/>
            <w:bottom w:val="none" w:sz="0" w:space="0" w:color="auto"/>
            <w:right w:val="none" w:sz="0" w:space="0" w:color="auto"/>
          </w:divBdr>
        </w:div>
        <w:div w:id="2112161440">
          <w:marLeft w:val="0"/>
          <w:marRight w:val="0"/>
          <w:marTop w:val="0"/>
          <w:marBottom w:val="0"/>
          <w:divBdr>
            <w:top w:val="none" w:sz="0" w:space="0" w:color="auto"/>
            <w:left w:val="none" w:sz="0" w:space="0" w:color="auto"/>
            <w:bottom w:val="none" w:sz="0" w:space="0" w:color="auto"/>
            <w:right w:val="none" w:sz="0" w:space="0" w:color="auto"/>
          </w:divBdr>
        </w:div>
        <w:div w:id="1104573835">
          <w:marLeft w:val="0"/>
          <w:marRight w:val="0"/>
          <w:marTop w:val="0"/>
          <w:marBottom w:val="0"/>
          <w:divBdr>
            <w:top w:val="none" w:sz="0" w:space="0" w:color="auto"/>
            <w:left w:val="none" w:sz="0" w:space="0" w:color="auto"/>
            <w:bottom w:val="none" w:sz="0" w:space="0" w:color="auto"/>
            <w:right w:val="none" w:sz="0" w:space="0" w:color="auto"/>
          </w:divBdr>
        </w:div>
        <w:div w:id="166024622">
          <w:marLeft w:val="0"/>
          <w:marRight w:val="0"/>
          <w:marTop w:val="0"/>
          <w:marBottom w:val="0"/>
          <w:divBdr>
            <w:top w:val="none" w:sz="0" w:space="0" w:color="auto"/>
            <w:left w:val="none" w:sz="0" w:space="0" w:color="auto"/>
            <w:bottom w:val="none" w:sz="0" w:space="0" w:color="auto"/>
            <w:right w:val="none" w:sz="0" w:space="0" w:color="auto"/>
          </w:divBdr>
        </w:div>
        <w:div w:id="88889437">
          <w:marLeft w:val="0"/>
          <w:marRight w:val="0"/>
          <w:marTop w:val="0"/>
          <w:marBottom w:val="0"/>
          <w:divBdr>
            <w:top w:val="none" w:sz="0" w:space="0" w:color="auto"/>
            <w:left w:val="none" w:sz="0" w:space="0" w:color="auto"/>
            <w:bottom w:val="none" w:sz="0" w:space="0" w:color="auto"/>
            <w:right w:val="none" w:sz="0" w:space="0" w:color="auto"/>
          </w:divBdr>
        </w:div>
        <w:div w:id="118576368">
          <w:marLeft w:val="0"/>
          <w:marRight w:val="0"/>
          <w:marTop w:val="0"/>
          <w:marBottom w:val="0"/>
          <w:divBdr>
            <w:top w:val="none" w:sz="0" w:space="0" w:color="auto"/>
            <w:left w:val="none" w:sz="0" w:space="0" w:color="auto"/>
            <w:bottom w:val="none" w:sz="0" w:space="0" w:color="auto"/>
            <w:right w:val="none" w:sz="0" w:space="0" w:color="auto"/>
          </w:divBdr>
        </w:div>
        <w:div w:id="645471184">
          <w:marLeft w:val="0"/>
          <w:marRight w:val="0"/>
          <w:marTop w:val="0"/>
          <w:marBottom w:val="0"/>
          <w:divBdr>
            <w:top w:val="none" w:sz="0" w:space="0" w:color="auto"/>
            <w:left w:val="none" w:sz="0" w:space="0" w:color="auto"/>
            <w:bottom w:val="none" w:sz="0" w:space="0" w:color="auto"/>
            <w:right w:val="none" w:sz="0" w:space="0" w:color="auto"/>
          </w:divBdr>
        </w:div>
        <w:div w:id="359553567">
          <w:marLeft w:val="0"/>
          <w:marRight w:val="0"/>
          <w:marTop w:val="0"/>
          <w:marBottom w:val="0"/>
          <w:divBdr>
            <w:top w:val="none" w:sz="0" w:space="0" w:color="auto"/>
            <w:left w:val="none" w:sz="0" w:space="0" w:color="auto"/>
            <w:bottom w:val="none" w:sz="0" w:space="0" w:color="auto"/>
            <w:right w:val="none" w:sz="0" w:space="0" w:color="auto"/>
          </w:divBdr>
        </w:div>
        <w:div w:id="2126927433">
          <w:marLeft w:val="0"/>
          <w:marRight w:val="0"/>
          <w:marTop w:val="0"/>
          <w:marBottom w:val="0"/>
          <w:divBdr>
            <w:top w:val="none" w:sz="0" w:space="0" w:color="auto"/>
            <w:left w:val="none" w:sz="0" w:space="0" w:color="auto"/>
            <w:bottom w:val="none" w:sz="0" w:space="0" w:color="auto"/>
            <w:right w:val="none" w:sz="0" w:space="0" w:color="auto"/>
          </w:divBdr>
        </w:div>
        <w:div w:id="1404642954">
          <w:marLeft w:val="0"/>
          <w:marRight w:val="0"/>
          <w:marTop w:val="0"/>
          <w:marBottom w:val="0"/>
          <w:divBdr>
            <w:top w:val="none" w:sz="0" w:space="0" w:color="auto"/>
            <w:left w:val="none" w:sz="0" w:space="0" w:color="auto"/>
            <w:bottom w:val="none" w:sz="0" w:space="0" w:color="auto"/>
            <w:right w:val="none" w:sz="0" w:space="0" w:color="auto"/>
          </w:divBdr>
        </w:div>
        <w:div w:id="2088309332">
          <w:marLeft w:val="0"/>
          <w:marRight w:val="0"/>
          <w:marTop w:val="0"/>
          <w:marBottom w:val="0"/>
          <w:divBdr>
            <w:top w:val="none" w:sz="0" w:space="0" w:color="auto"/>
            <w:left w:val="none" w:sz="0" w:space="0" w:color="auto"/>
            <w:bottom w:val="none" w:sz="0" w:space="0" w:color="auto"/>
            <w:right w:val="none" w:sz="0" w:space="0" w:color="auto"/>
          </w:divBdr>
        </w:div>
        <w:div w:id="947928105">
          <w:marLeft w:val="0"/>
          <w:marRight w:val="0"/>
          <w:marTop w:val="0"/>
          <w:marBottom w:val="0"/>
          <w:divBdr>
            <w:top w:val="none" w:sz="0" w:space="0" w:color="auto"/>
            <w:left w:val="none" w:sz="0" w:space="0" w:color="auto"/>
            <w:bottom w:val="none" w:sz="0" w:space="0" w:color="auto"/>
            <w:right w:val="none" w:sz="0" w:space="0" w:color="auto"/>
          </w:divBdr>
        </w:div>
        <w:div w:id="407649897">
          <w:marLeft w:val="0"/>
          <w:marRight w:val="0"/>
          <w:marTop w:val="0"/>
          <w:marBottom w:val="0"/>
          <w:divBdr>
            <w:top w:val="none" w:sz="0" w:space="0" w:color="auto"/>
            <w:left w:val="none" w:sz="0" w:space="0" w:color="auto"/>
            <w:bottom w:val="none" w:sz="0" w:space="0" w:color="auto"/>
            <w:right w:val="none" w:sz="0" w:space="0" w:color="auto"/>
          </w:divBdr>
        </w:div>
        <w:div w:id="1831864261">
          <w:marLeft w:val="0"/>
          <w:marRight w:val="0"/>
          <w:marTop w:val="0"/>
          <w:marBottom w:val="0"/>
          <w:divBdr>
            <w:top w:val="none" w:sz="0" w:space="0" w:color="auto"/>
            <w:left w:val="none" w:sz="0" w:space="0" w:color="auto"/>
            <w:bottom w:val="none" w:sz="0" w:space="0" w:color="auto"/>
            <w:right w:val="none" w:sz="0" w:space="0" w:color="auto"/>
          </w:divBdr>
        </w:div>
        <w:div w:id="310716360">
          <w:marLeft w:val="0"/>
          <w:marRight w:val="0"/>
          <w:marTop w:val="0"/>
          <w:marBottom w:val="0"/>
          <w:divBdr>
            <w:top w:val="none" w:sz="0" w:space="0" w:color="auto"/>
            <w:left w:val="none" w:sz="0" w:space="0" w:color="auto"/>
            <w:bottom w:val="none" w:sz="0" w:space="0" w:color="auto"/>
            <w:right w:val="none" w:sz="0" w:space="0" w:color="auto"/>
          </w:divBdr>
        </w:div>
        <w:div w:id="707334089">
          <w:marLeft w:val="0"/>
          <w:marRight w:val="0"/>
          <w:marTop w:val="0"/>
          <w:marBottom w:val="0"/>
          <w:divBdr>
            <w:top w:val="none" w:sz="0" w:space="0" w:color="auto"/>
            <w:left w:val="none" w:sz="0" w:space="0" w:color="auto"/>
            <w:bottom w:val="none" w:sz="0" w:space="0" w:color="auto"/>
            <w:right w:val="none" w:sz="0" w:space="0" w:color="auto"/>
          </w:divBdr>
        </w:div>
        <w:div w:id="579558685">
          <w:marLeft w:val="0"/>
          <w:marRight w:val="0"/>
          <w:marTop w:val="0"/>
          <w:marBottom w:val="0"/>
          <w:divBdr>
            <w:top w:val="none" w:sz="0" w:space="0" w:color="auto"/>
            <w:left w:val="none" w:sz="0" w:space="0" w:color="auto"/>
            <w:bottom w:val="none" w:sz="0" w:space="0" w:color="auto"/>
            <w:right w:val="none" w:sz="0" w:space="0" w:color="auto"/>
          </w:divBdr>
        </w:div>
        <w:div w:id="1042100126">
          <w:marLeft w:val="0"/>
          <w:marRight w:val="0"/>
          <w:marTop w:val="0"/>
          <w:marBottom w:val="0"/>
          <w:divBdr>
            <w:top w:val="none" w:sz="0" w:space="0" w:color="auto"/>
            <w:left w:val="none" w:sz="0" w:space="0" w:color="auto"/>
            <w:bottom w:val="none" w:sz="0" w:space="0" w:color="auto"/>
            <w:right w:val="none" w:sz="0" w:space="0" w:color="auto"/>
          </w:divBdr>
        </w:div>
      </w:divsChild>
    </w:div>
    <w:div w:id="1420639213">
      <w:bodyDiv w:val="1"/>
      <w:marLeft w:val="0"/>
      <w:marRight w:val="0"/>
      <w:marTop w:val="0"/>
      <w:marBottom w:val="0"/>
      <w:divBdr>
        <w:top w:val="none" w:sz="0" w:space="0" w:color="auto"/>
        <w:left w:val="none" w:sz="0" w:space="0" w:color="auto"/>
        <w:bottom w:val="none" w:sz="0" w:space="0" w:color="auto"/>
        <w:right w:val="none" w:sz="0" w:space="0" w:color="auto"/>
      </w:divBdr>
    </w:div>
    <w:div w:id="1488127334">
      <w:bodyDiv w:val="1"/>
      <w:marLeft w:val="0"/>
      <w:marRight w:val="0"/>
      <w:marTop w:val="0"/>
      <w:marBottom w:val="0"/>
      <w:divBdr>
        <w:top w:val="none" w:sz="0" w:space="0" w:color="auto"/>
        <w:left w:val="none" w:sz="0" w:space="0" w:color="auto"/>
        <w:bottom w:val="none" w:sz="0" w:space="0" w:color="auto"/>
        <w:right w:val="none" w:sz="0" w:space="0" w:color="auto"/>
      </w:divBdr>
    </w:div>
    <w:div w:id="1516386627">
      <w:bodyDiv w:val="1"/>
      <w:marLeft w:val="0"/>
      <w:marRight w:val="0"/>
      <w:marTop w:val="0"/>
      <w:marBottom w:val="0"/>
      <w:divBdr>
        <w:top w:val="none" w:sz="0" w:space="0" w:color="auto"/>
        <w:left w:val="none" w:sz="0" w:space="0" w:color="auto"/>
        <w:bottom w:val="none" w:sz="0" w:space="0" w:color="auto"/>
        <w:right w:val="none" w:sz="0" w:space="0" w:color="auto"/>
      </w:divBdr>
    </w:div>
    <w:div w:id="1801262674">
      <w:bodyDiv w:val="1"/>
      <w:marLeft w:val="0"/>
      <w:marRight w:val="0"/>
      <w:marTop w:val="0"/>
      <w:marBottom w:val="0"/>
      <w:divBdr>
        <w:top w:val="none" w:sz="0" w:space="0" w:color="auto"/>
        <w:left w:val="none" w:sz="0" w:space="0" w:color="auto"/>
        <w:bottom w:val="none" w:sz="0" w:space="0" w:color="auto"/>
        <w:right w:val="none" w:sz="0" w:space="0" w:color="auto"/>
      </w:divBdr>
      <w:divsChild>
        <w:div w:id="913707360">
          <w:marLeft w:val="0"/>
          <w:marRight w:val="0"/>
          <w:marTop w:val="0"/>
          <w:marBottom w:val="0"/>
          <w:divBdr>
            <w:top w:val="none" w:sz="0" w:space="0" w:color="auto"/>
            <w:left w:val="none" w:sz="0" w:space="0" w:color="auto"/>
            <w:bottom w:val="none" w:sz="0" w:space="0" w:color="auto"/>
            <w:right w:val="none" w:sz="0" w:space="0" w:color="auto"/>
          </w:divBdr>
        </w:div>
        <w:div w:id="548955209">
          <w:marLeft w:val="0"/>
          <w:marRight w:val="0"/>
          <w:marTop w:val="0"/>
          <w:marBottom w:val="0"/>
          <w:divBdr>
            <w:top w:val="none" w:sz="0" w:space="0" w:color="auto"/>
            <w:left w:val="none" w:sz="0" w:space="0" w:color="auto"/>
            <w:bottom w:val="none" w:sz="0" w:space="0" w:color="auto"/>
            <w:right w:val="none" w:sz="0" w:space="0" w:color="auto"/>
          </w:divBdr>
        </w:div>
        <w:div w:id="2090031788">
          <w:marLeft w:val="0"/>
          <w:marRight w:val="0"/>
          <w:marTop w:val="0"/>
          <w:marBottom w:val="0"/>
          <w:divBdr>
            <w:top w:val="none" w:sz="0" w:space="0" w:color="auto"/>
            <w:left w:val="none" w:sz="0" w:space="0" w:color="auto"/>
            <w:bottom w:val="none" w:sz="0" w:space="0" w:color="auto"/>
            <w:right w:val="none" w:sz="0" w:space="0" w:color="auto"/>
          </w:divBdr>
        </w:div>
        <w:div w:id="316956229">
          <w:marLeft w:val="0"/>
          <w:marRight w:val="0"/>
          <w:marTop w:val="0"/>
          <w:marBottom w:val="0"/>
          <w:divBdr>
            <w:top w:val="none" w:sz="0" w:space="0" w:color="auto"/>
            <w:left w:val="none" w:sz="0" w:space="0" w:color="auto"/>
            <w:bottom w:val="none" w:sz="0" w:space="0" w:color="auto"/>
            <w:right w:val="none" w:sz="0" w:space="0" w:color="auto"/>
          </w:divBdr>
        </w:div>
        <w:div w:id="568463929">
          <w:marLeft w:val="0"/>
          <w:marRight w:val="0"/>
          <w:marTop w:val="0"/>
          <w:marBottom w:val="0"/>
          <w:divBdr>
            <w:top w:val="none" w:sz="0" w:space="0" w:color="auto"/>
            <w:left w:val="none" w:sz="0" w:space="0" w:color="auto"/>
            <w:bottom w:val="none" w:sz="0" w:space="0" w:color="auto"/>
            <w:right w:val="none" w:sz="0" w:space="0" w:color="auto"/>
          </w:divBdr>
        </w:div>
        <w:div w:id="551313230">
          <w:marLeft w:val="0"/>
          <w:marRight w:val="0"/>
          <w:marTop w:val="0"/>
          <w:marBottom w:val="0"/>
          <w:divBdr>
            <w:top w:val="none" w:sz="0" w:space="0" w:color="auto"/>
            <w:left w:val="none" w:sz="0" w:space="0" w:color="auto"/>
            <w:bottom w:val="none" w:sz="0" w:space="0" w:color="auto"/>
            <w:right w:val="none" w:sz="0" w:space="0" w:color="auto"/>
          </w:divBdr>
        </w:div>
        <w:div w:id="1678339198">
          <w:marLeft w:val="0"/>
          <w:marRight w:val="0"/>
          <w:marTop w:val="0"/>
          <w:marBottom w:val="0"/>
          <w:divBdr>
            <w:top w:val="none" w:sz="0" w:space="0" w:color="auto"/>
            <w:left w:val="none" w:sz="0" w:space="0" w:color="auto"/>
            <w:bottom w:val="none" w:sz="0" w:space="0" w:color="auto"/>
            <w:right w:val="none" w:sz="0" w:space="0" w:color="auto"/>
          </w:divBdr>
        </w:div>
        <w:div w:id="1126698884">
          <w:marLeft w:val="0"/>
          <w:marRight w:val="0"/>
          <w:marTop w:val="0"/>
          <w:marBottom w:val="0"/>
          <w:divBdr>
            <w:top w:val="none" w:sz="0" w:space="0" w:color="auto"/>
            <w:left w:val="none" w:sz="0" w:space="0" w:color="auto"/>
            <w:bottom w:val="none" w:sz="0" w:space="0" w:color="auto"/>
            <w:right w:val="none" w:sz="0" w:space="0" w:color="auto"/>
          </w:divBdr>
        </w:div>
        <w:div w:id="1097797469">
          <w:marLeft w:val="0"/>
          <w:marRight w:val="0"/>
          <w:marTop w:val="0"/>
          <w:marBottom w:val="0"/>
          <w:divBdr>
            <w:top w:val="none" w:sz="0" w:space="0" w:color="auto"/>
            <w:left w:val="none" w:sz="0" w:space="0" w:color="auto"/>
            <w:bottom w:val="none" w:sz="0" w:space="0" w:color="auto"/>
            <w:right w:val="none" w:sz="0" w:space="0" w:color="auto"/>
          </w:divBdr>
        </w:div>
        <w:div w:id="2075853579">
          <w:marLeft w:val="0"/>
          <w:marRight w:val="0"/>
          <w:marTop w:val="0"/>
          <w:marBottom w:val="0"/>
          <w:divBdr>
            <w:top w:val="none" w:sz="0" w:space="0" w:color="auto"/>
            <w:left w:val="none" w:sz="0" w:space="0" w:color="auto"/>
            <w:bottom w:val="none" w:sz="0" w:space="0" w:color="auto"/>
            <w:right w:val="none" w:sz="0" w:space="0" w:color="auto"/>
          </w:divBdr>
        </w:div>
        <w:div w:id="1478499585">
          <w:marLeft w:val="0"/>
          <w:marRight w:val="0"/>
          <w:marTop w:val="0"/>
          <w:marBottom w:val="0"/>
          <w:divBdr>
            <w:top w:val="none" w:sz="0" w:space="0" w:color="auto"/>
            <w:left w:val="none" w:sz="0" w:space="0" w:color="auto"/>
            <w:bottom w:val="none" w:sz="0" w:space="0" w:color="auto"/>
            <w:right w:val="none" w:sz="0" w:space="0" w:color="auto"/>
          </w:divBdr>
        </w:div>
        <w:div w:id="790781034">
          <w:marLeft w:val="0"/>
          <w:marRight w:val="0"/>
          <w:marTop w:val="0"/>
          <w:marBottom w:val="0"/>
          <w:divBdr>
            <w:top w:val="none" w:sz="0" w:space="0" w:color="auto"/>
            <w:left w:val="none" w:sz="0" w:space="0" w:color="auto"/>
            <w:bottom w:val="none" w:sz="0" w:space="0" w:color="auto"/>
            <w:right w:val="none" w:sz="0" w:space="0" w:color="auto"/>
          </w:divBdr>
        </w:div>
        <w:div w:id="1995375736">
          <w:marLeft w:val="0"/>
          <w:marRight w:val="0"/>
          <w:marTop w:val="0"/>
          <w:marBottom w:val="0"/>
          <w:divBdr>
            <w:top w:val="none" w:sz="0" w:space="0" w:color="auto"/>
            <w:left w:val="none" w:sz="0" w:space="0" w:color="auto"/>
            <w:bottom w:val="none" w:sz="0" w:space="0" w:color="auto"/>
            <w:right w:val="none" w:sz="0" w:space="0" w:color="auto"/>
          </w:divBdr>
        </w:div>
        <w:div w:id="1871526778">
          <w:marLeft w:val="0"/>
          <w:marRight w:val="0"/>
          <w:marTop w:val="0"/>
          <w:marBottom w:val="0"/>
          <w:divBdr>
            <w:top w:val="none" w:sz="0" w:space="0" w:color="auto"/>
            <w:left w:val="none" w:sz="0" w:space="0" w:color="auto"/>
            <w:bottom w:val="none" w:sz="0" w:space="0" w:color="auto"/>
            <w:right w:val="none" w:sz="0" w:space="0" w:color="auto"/>
          </w:divBdr>
        </w:div>
        <w:div w:id="1303191801">
          <w:marLeft w:val="0"/>
          <w:marRight w:val="0"/>
          <w:marTop w:val="0"/>
          <w:marBottom w:val="0"/>
          <w:divBdr>
            <w:top w:val="none" w:sz="0" w:space="0" w:color="auto"/>
            <w:left w:val="none" w:sz="0" w:space="0" w:color="auto"/>
            <w:bottom w:val="none" w:sz="0" w:space="0" w:color="auto"/>
            <w:right w:val="none" w:sz="0" w:space="0" w:color="auto"/>
          </w:divBdr>
        </w:div>
        <w:div w:id="1900439909">
          <w:marLeft w:val="0"/>
          <w:marRight w:val="0"/>
          <w:marTop w:val="0"/>
          <w:marBottom w:val="0"/>
          <w:divBdr>
            <w:top w:val="none" w:sz="0" w:space="0" w:color="auto"/>
            <w:left w:val="none" w:sz="0" w:space="0" w:color="auto"/>
            <w:bottom w:val="none" w:sz="0" w:space="0" w:color="auto"/>
            <w:right w:val="none" w:sz="0" w:space="0" w:color="auto"/>
          </w:divBdr>
        </w:div>
        <w:div w:id="2037461358">
          <w:marLeft w:val="0"/>
          <w:marRight w:val="0"/>
          <w:marTop w:val="0"/>
          <w:marBottom w:val="0"/>
          <w:divBdr>
            <w:top w:val="none" w:sz="0" w:space="0" w:color="auto"/>
            <w:left w:val="none" w:sz="0" w:space="0" w:color="auto"/>
            <w:bottom w:val="none" w:sz="0" w:space="0" w:color="auto"/>
            <w:right w:val="none" w:sz="0" w:space="0" w:color="auto"/>
          </w:divBdr>
        </w:div>
        <w:div w:id="1413892957">
          <w:marLeft w:val="0"/>
          <w:marRight w:val="0"/>
          <w:marTop w:val="0"/>
          <w:marBottom w:val="0"/>
          <w:divBdr>
            <w:top w:val="none" w:sz="0" w:space="0" w:color="auto"/>
            <w:left w:val="none" w:sz="0" w:space="0" w:color="auto"/>
            <w:bottom w:val="none" w:sz="0" w:space="0" w:color="auto"/>
            <w:right w:val="none" w:sz="0" w:space="0" w:color="auto"/>
          </w:divBdr>
        </w:div>
        <w:div w:id="1424493900">
          <w:marLeft w:val="0"/>
          <w:marRight w:val="0"/>
          <w:marTop w:val="0"/>
          <w:marBottom w:val="0"/>
          <w:divBdr>
            <w:top w:val="none" w:sz="0" w:space="0" w:color="auto"/>
            <w:left w:val="none" w:sz="0" w:space="0" w:color="auto"/>
            <w:bottom w:val="none" w:sz="0" w:space="0" w:color="auto"/>
            <w:right w:val="none" w:sz="0" w:space="0" w:color="auto"/>
          </w:divBdr>
        </w:div>
        <w:div w:id="775561370">
          <w:marLeft w:val="0"/>
          <w:marRight w:val="0"/>
          <w:marTop w:val="0"/>
          <w:marBottom w:val="0"/>
          <w:divBdr>
            <w:top w:val="none" w:sz="0" w:space="0" w:color="auto"/>
            <w:left w:val="none" w:sz="0" w:space="0" w:color="auto"/>
            <w:bottom w:val="none" w:sz="0" w:space="0" w:color="auto"/>
            <w:right w:val="none" w:sz="0" w:space="0" w:color="auto"/>
          </w:divBdr>
        </w:div>
        <w:div w:id="1177424368">
          <w:marLeft w:val="0"/>
          <w:marRight w:val="0"/>
          <w:marTop w:val="0"/>
          <w:marBottom w:val="0"/>
          <w:divBdr>
            <w:top w:val="none" w:sz="0" w:space="0" w:color="auto"/>
            <w:left w:val="none" w:sz="0" w:space="0" w:color="auto"/>
            <w:bottom w:val="none" w:sz="0" w:space="0" w:color="auto"/>
            <w:right w:val="none" w:sz="0" w:space="0" w:color="auto"/>
          </w:divBdr>
        </w:div>
        <w:div w:id="775709782">
          <w:marLeft w:val="0"/>
          <w:marRight w:val="0"/>
          <w:marTop w:val="0"/>
          <w:marBottom w:val="0"/>
          <w:divBdr>
            <w:top w:val="none" w:sz="0" w:space="0" w:color="auto"/>
            <w:left w:val="none" w:sz="0" w:space="0" w:color="auto"/>
            <w:bottom w:val="none" w:sz="0" w:space="0" w:color="auto"/>
            <w:right w:val="none" w:sz="0" w:space="0" w:color="auto"/>
          </w:divBdr>
        </w:div>
      </w:divsChild>
    </w:div>
    <w:div w:id="1850830152">
      <w:bodyDiv w:val="1"/>
      <w:marLeft w:val="0"/>
      <w:marRight w:val="0"/>
      <w:marTop w:val="0"/>
      <w:marBottom w:val="0"/>
      <w:divBdr>
        <w:top w:val="none" w:sz="0" w:space="0" w:color="auto"/>
        <w:left w:val="none" w:sz="0" w:space="0" w:color="auto"/>
        <w:bottom w:val="none" w:sz="0" w:space="0" w:color="auto"/>
        <w:right w:val="none" w:sz="0" w:space="0" w:color="auto"/>
      </w:divBdr>
      <w:divsChild>
        <w:div w:id="1843616147">
          <w:marLeft w:val="0"/>
          <w:marRight w:val="0"/>
          <w:marTop w:val="0"/>
          <w:marBottom w:val="0"/>
          <w:divBdr>
            <w:top w:val="none" w:sz="0" w:space="0" w:color="auto"/>
            <w:left w:val="none" w:sz="0" w:space="0" w:color="auto"/>
            <w:bottom w:val="none" w:sz="0" w:space="0" w:color="auto"/>
            <w:right w:val="none" w:sz="0" w:space="0" w:color="auto"/>
          </w:divBdr>
        </w:div>
        <w:div w:id="269319117">
          <w:marLeft w:val="0"/>
          <w:marRight w:val="0"/>
          <w:marTop w:val="0"/>
          <w:marBottom w:val="0"/>
          <w:divBdr>
            <w:top w:val="none" w:sz="0" w:space="0" w:color="auto"/>
            <w:left w:val="none" w:sz="0" w:space="0" w:color="auto"/>
            <w:bottom w:val="none" w:sz="0" w:space="0" w:color="auto"/>
            <w:right w:val="none" w:sz="0" w:space="0" w:color="auto"/>
          </w:divBdr>
        </w:div>
        <w:div w:id="151337848">
          <w:marLeft w:val="0"/>
          <w:marRight w:val="0"/>
          <w:marTop w:val="0"/>
          <w:marBottom w:val="0"/>
          <w:divBdr>
            <w:top w:val="none" w:sz="0" w:space="0" w:color="auto"/>
            <w:left w:val="none" w:sz="0" w:space="0" w:color="auto"/>
            <w:bottom w:val="none" w:sz="0" w:space="0" w:color="auto"/>
            <w:right w:val="none" w:sz="0" w:space="0" w:color="auto"/>
          </w:divBdr>
        </w:div>
        <w:div w:id="282006977">
          <w:marLeft w:val="0"/>
          <w:marRight w:val="0"/>
          <w:marTop w:val="0"/>
          <w:marBottom w:val="0"/>
          <w:divBdr>
            <w:top w:val="none" w:sz="0" w:space="0" w:color="auto"/>
            <w:left w:val="none" w:sz="0" w:space="0" w:color="auto"/>
            <w:bottom w:val="none" w:sz="0" w:space="0" w:color="auto"/>
            <w:right w:val="none" w:sz="0" w:space="0" w:color="auto"/>
          </w:divBdr>
        </w:div>
        <w:div w:id="291523534">
          <w:marLeft w:val="0"/>
          <w:marRight w:val="0"/>
          <w:marTop w:val="0"/>
          <w:marBottom w:val="0"/>
          <w:divBdr>
            <w:top w:val="none" w:sz="0" w:space="0" w:color="auto"/>
            <w:left w:val="none" w:sz="0" w:space="0" w:color="auto"/>
            <w:bottom w:val="none" w:sz="0" w:space="0" w:color="auto"/>
            <w:right w:val="none" w:sz="0" w:space="0" w:color="auto"/>
          </w:divBdr>
        </w:div>
        <w:div w:id="771166408">
          <w:marLeft w:val="0"/>
          <w:marRight w:val="0"/>
          <w:marTop w:val="0"/>
          <w:marBottom w:val="0"/>
          <w:divBdr>
            <w:top w:val="none" w:sz="0" w:space="0" w:color="auto"/>
            <w:left w:val="none" w:sz="0" w:space="0" w:color="auto"/>
            <w:bottom w:val="none" w:sz="0" w:space="0" w:color="auto"/>
            <w:right w:val="none" w:sz="0" w:space="0" w:color="auto"/>
          </w:divBdr>
        </w:div>
        <w:div w:id="1187527921">
          <w:marLeft w:val="0"/>
          <w:marRight w:val="0"/>
          <w:marTop w:val="0"/>
          <w:marBottom w:val="0"/>
          <w:divBdr>
            <w:top w:val="none" w:sz="0" w:space="0" w:color="auto"/>
            <w:left w:val="none" w:sz="0" w:space="0" w:color="auto"/>
            <w:bottom w:val="none" w:sz="0" w:space="0" w:color="auto"/>
            <w:right w:val="none" w:sz="0" w:space="0" w:color="auto"/>
          </w:divBdr>
        </w:div>
        <w:div w:id="1946764057">
          <w:marLeft w:val="0"/>
          <w:marRight w:val="0"/>
          <w:marTop w:val="0"/>
          <w:marBottom w:val="0"/>
          <w:divBdr>
            <w:top w:val="none" w:sz="0" w:space="0" w:color="auto"/>
            <w:left w:val="none" w:sz="0" w:space="0" w:color="auto"/>
            <w:bottom w:val="none" w:sz="0" w:space="0" w:color="auto"/>
            <w:right w:val="none" w:sz="0" w:space="0" w:color="auto"/>
          </w:divBdr>
        </w:div>
        <w:div w:id="830367111">
          <w:marLeft w:val="0"/>
          <w:marRight w:val="0"/>
          <w:marTop w:val="0"/>
          <w:marBottom w:val="0"/>
          <w:divBdr>
            <w:top w:val="none" w:sz="0" w:space="0" w:color="auto"/>
            <w:left w:val="none" w:sz="0" w:space="0" w:color="auto"/>
            <w:bottom w:val="none" w:sz="0" w:space="0" w:color="auto"/>
            <w:right w:val="none" w:sz="0" w:space="0" w:color="auto"/>
          </w:divBdr>
        </w:div>
        <w:div w:id="488981036">
          <w:marLeft w:val="0"/>
          <w:marRight w:val="0"/>
          <w:marTop w:val="0"/>
          <w:marBottom w:val="0"/>
          <w:divBdr>
            <w:top w:val="none" w:sz="0" w:space="0" w:color="auto"/>
            <w:left w:val="none" w:sz="0" w:space="0" w:color="auto"/>
            <w:bottom w:val="none" w:sz="0" w:space="0" w:color="auto"/>
            <w:right w:val="none" w:sz="0" w:space="0" w:color="auto"/>
          </w:divBdr>
        </w:div>
        <w:div w:id="935017103">
          <w:marLeft w:val="0"/>
          <w:marRight w:val="0"/>
          <w:marTop w:val="0"/>
          <w:marBottom w:val="0"/>
          <w:divBdr>
            <w:top w:val="none" w:sz="0" w:space="0" w:color="auto"/>
            <w:left w:val="none" w:sz="0" w:space="0" w:color="auto"/>
            <w:bottom w:val="none" w:sz="0" w:space="0" w:color="auto"/>
            <w:right w:val="none" w:sz="0" w:space="0" w:color="auto"/>
          </w:divBdr>
        </w:div>
        <w:div w:id="428620725">
          <w:marLeft w:val="0"/>
          <w:marRight w:val="0"/>
          <w:marTop w:val="0"/>
          <w:marBottom w:val="0"/>
          <w:divBdr>
            <w:top w:val="none" w:sz="0" w:space="0" w:color="auto"/>
            <w:left w:val="none" w:sz="0" w:space="0" w:color="auto"/>
            <w:bottom w:val="none" w:sz="0" w:space="0" w:color="auto"/>
            <w:right w:val="none" w:sz="0" w:space="0" w:color="auto"/>
          </w:divBdr>
        </w:div>
        <w:div w:id="815561507">
          <w:marLeft w:val="0"/>
          <w:marRight w:val="0"/>
          <w:marTop w:val="0"/>
          <w:marBottom w:val="0"/>
          <w:divBdr>
            <w:top w:val="none" w:sz="0" w:space="0" w:color="auto"/>
            <w:left w:val="none" w:sz="0" w:space="0" w:color="auto"/>
            <w:bottom w:val="none" w:sz="0" w:space="0" w:color="auto"/>
            <w:right w:val="none" w:sz="0" w:space="0" w:color="auto"/>
          </w:divBdr>
        </w:div>
        <w:div w:id="298582680">
          <w:marLeft w:val="0"/>
          <w:marRight w:val="0"/>
          <w:marTop w:val="0"/>
          <w:marBottom w:val="0"/>
          <w:divBdr>
            <w:top w:val="none" w:sz="0" w:space="0" w:color="auto"/>
            <w:left w:val="none" w:sz="0" w:space="0" w:color="auto"/>
            <w:bottom w:val="none" w:sz="0" w:space="0" w:color="auto"/>
            <w:right w:val="none" w:sz="0" w:space="0" w:color="auto"/>
          </w:divBdr>
        </w:div>
        <w:div w:id="2005744106">
          <w:marLeft w:val="0"/>
          <w:marRight w:val="0"/>
          <w:marTop w:val="0"/>
          <w:marBottom w:val="0"/>
          <w:divBdr>
            <w:top w:val="none" w:sz="0" w:space="0" w:color="auto"/>
            <w:left w:val="none" w:sz="0" w:space="0" w:color="auto"/>
            <w:bottom w:val="none" w:sz="0" w:space="0" w:color="auto"/>
            <w:right w:val="none" w:sz="0" w:space="0" w:color="auto"/>
          </w:divBdr>
        </w:div>
        <w:div w:id="1528986502">
          <w:marLeft w:val="0"/>
          <w:marRight w:val="0"/>
          <w:marTop w:val="0"/>
          <w:marBottom w:val="0"/>
          <w:divBdr>
            <w:top w:val="none" w:sz="0" w:space="0" w:color="auto"/>
            <w:left w:val="none" w:sz="0" w:space="0" w:color="auto"/>
            <w:bottom w:val="none" w:sz="0" w:space="0" w:color="auto"/>
            <w:right w:val="none" w:sz="0" w:space="0" w:color="auto"/>
          </w:divBdr>
        </w:div>
        <w:div w:id="1993288531">
          <w:marLeft w:val="0"/>
          <w:marRight w:val="0"/>
          <w:marTop w:val="0"/>
          <w:marBottom w:val="0"/>
          <w:divBdr>
            <w:top w:val="none" w:sz="0" w:space="0" w:color="auto"/>
            <w:left w:val="none" w:sz="0" w:space="0" w:color="auto"/>
            <w:bottom w:val="none" w:sz="0" w:space="0" w:color="auto"/>
            <w:right w:val="none" w:sz="0" w:space="0" w:color="auto"/>
          </w:divBdr>
        </w:div>
        <w:div w:id="418524958">
          <w:marLeft w:val="0"/>
          <w:marRight w:val="0"/>
          <w:marTop w:val="0"/>
          <w:marBottom w:val="0"/>
          <w:divBdr>
            <w:top w:val="none" w:sz="0" w:space="0" w:color="auto"/>
            <w:left w:val="none" w:sz="0" w:space="0" w:color="auto"/>
            <w:bottom w:val="none" w:sz="0" w:space="0" w:color="auto"/>
            <w:right w:val="none" w:sz="0" w:space="0" w:color="auto"/>
          </w:divBdr>
        </w:div>
        <w:div w:id="737090640">
          <w:marLeft w:val="0"/>
          <w:marRight w:val="0"/>
          <w:marTop w:val="0"/>
          <w:marBottom w:val="0"/>
          <w:divBdr>
            <w:top w:val="none" w:sz="0" w:space="0" w:color="auto"/>
            <w:left w:val="none" w:sz="0" w:space="0" w:color="auto"/>
            <w:bottom w:val="none" w:sz="0" w:space="0" w:color="auto"/>
            <w:right w:val="none" w:sz="0" w:space="0" w:color="auto"/>
          </w:divBdr>
        </w:div>
        <w:div w:id="716130320">
          <w:marLeft w:val="0"/>
          <w:marRight w:val="0"/>
          <w:marTop w:val="0"/>
          <w:marBottom w:val="0"/>
          <w:divBdr>
            <w:top w:val="none" w:sz="0" w:space="0" w:color="auto"/>
            <w:left w:val="none" w:sz="0" w:space="0" w:color="auto"/>
            <w:bottom w:val="none" w:sz="0" w:space="0" w:color="auto"/>
            <w:right w:val="none" w:sz="0" w:space="0" w:color="auto"/>
          </w:divBdr>
        </w:div>
        <w:div w:id="761537454">
          <w:marLeft w:val="0"/>
          <w:marRight w:val="0"/>
          <w:marTop w:val="0"/>
          <w:marBottom w:val="0"/>
          <w:divBdr>
            <w:top w:val="none" w:sz="0" w:space="0" w:color="auto"/>
            <w:left w:val="none" w:sz="0" w:space="0" w:color="auto"/>
            <w:bottom w:val="none" w:sz="0" w:space="0" w:color="auto"/>
            <w:right w:val="none" w:sz="0" w:space="0" w:color="auto"/>
          </w:divBdr>
        </w:div>
        <w:div w:id="1780031532">
          <w:marLeft w:val="0"/>
          <w:marRight w:val="0"/>
          <w:marTop w:val="0"/>
          <w:marBottom w:val="0"/>
          <w:divBdr>
            <w:top w:val="none" w:sz="0" w:space="0" w:color="auto"/>
            <w:left w:val="none" w:sz="0" w:space="0" w:color="auto"/>
            <w:bottom w:val="none" w:sz="0" w:space="0" w:color="auto"/>
            <w:right w:val="none" w:sz="0" w:space="0" w:color="auto"/>
          </w:divBdr>
        </w:div>
        <w:div w:id="1244726470">
          <w:marLeft w:val="0"/>
          <w:marRight w:val="0"/>
          <w:marTop w:val="0"/>
          <w:marBottom w:val="0"/>
          <w:divBdr>
            <w:top w:val="none" w:sz="0" w:space="0" w:color="auto"/>
            <w:left w:val="none" w:sz="0" w:space="0" w:color="auto"/>
            <w:bottom w:val="none" w:sz="0" w:space="0" w:color="auto"/>
            <w:right w:val="none" w:sz="0" w:space="0" w:color="auto"/>
          </w:divBdr>
        </w:div>
        <w:div w:id="899556612">
          <w:marLeft w:val="0"/>
          <w:marRight w:val="0"/>
          <w:marTop w:val="0"/>
          <w:marBottom w:val="0"/>
          <w:divBdr>
            <w:top w:val="none" w:sz="0" w:space="0" w:color="auto"/>
            <w:left w:val="none" w:sz="0" w:space="0" w:color="auto"/>
            <w:bottom w:val="none" w:sz="0" w:space="0" w:color="auto"/>
            <w:right w:val="none" w:sz="0" w:space="0" w:color="auto"/>
          </w:divBdr>
        </w:div>
        <w:div w:id="413092854">
          <w:marLeft w:val="0"/>
          <w:marRight w:val="0"/>
          <w:marTop w:val="0"/>
          <w:marBottom w:val="0"/>
          <w:divBdr>
            <w:top w:val="none" w:sz="0" w:space="0" w:color="auto"/>
            <w:left w:val="none" w:sz="0" w:space="0" w:color="auto"/>
            <w:bottom w:val="none" w:sz="0" w:space="0" w:color="auto"/>
            <w:right w:val="none" w:sz="0" w:space="0" w:color="auto"/>
          </w:divBdr>
        </w:div>
        <w:div w:id="1266964092">
          <w:marLeft w:val="0"/>
          <w:marRight w:val="0"/>
          <w:marTop w:val="0"/>
          <w:marBottom w:val="0"/>
          <w:divBdr>
            <w:top w:val="none" w:sz="0" w:space="0" w:color="auto"/>
            <w:left w:val="none" w:sz="0" w:space="0" w:color="auto"/>
            <w:bottom w:val="none" w:sz="0" w:space="0" w:color="auto"/>
            <w:right w:val="none" w:sz="0" w:space="0" w:color="auto"/>
          </w:divBdr>
        </w:div>
      </w:divsChild>
    </w:div>
    <w:div w:id="1858882661">
      <w:bodyDiv w:val="1"/>
      <w:marLeft w:val="0"/>
      <w:marRight w:val="0"/>
      <w:marTop w:val="0"/>
      <w:marBottom w:val="0"/>
      <w:divBdr>
        <w:top w:val="none" w:sz="0" w:space="0" w:color="auto"/>
        <w:left w:val="none" w:sz="0" w:space="0" w:color="auto"/>
        <w:bottom w:val="none" w:sz="0" w:space="0" w:color="auto"/>
        <w:right w:val="none" w:sz="0" w:space="0" w:color="auto"/>
      </w:divBdr>
      <w:divsChild>
        <w:div w:id="1168910125">
          <w:marLeft w:val="0"/>
          <w:marRight w:val="0"/>
          <w:marTop w:val="0"/>
          <w:marBottom w:val="0"/>
          <w:divBdr>
            <w:top w:val="none" w:sz="0" w:space="0" w:color="auto"/>
            <w:left w:val="none" w:sz="0" w:space="0" w:color="auto"/>
            <w:bottom w:val="none" w:sz="0" w:space="0" w:color="auto"/>
            <w:right w:val="none" w:sz="0" w:space="0" w:color="auto"/>
          </w:divBdr>
        </w:div>
        <w:div w:id="1927766468">
          <w:marLeft w:val="0"/>
          <w:marRight w:val="0"/>
          <w:marTop w:val="0"/>
          <w:marBottom w:val="0"/>
          <w:divBdr>
            <w:top w:val="none" w:sz="0" w:space="0" w:color="auto"/>
            <w:left w:val="none" w:sz="0" w:space="0" w:color="auto"/>
            <w:bottom w:val="none" w:sz="0" w:space="0" w:color="auto"/>
            <w:right w:val="none" w:sz="0" w:space="0" w:color="auto"/>
          </w:divBdr>
        </w:div>
        <w:div w:id="859783344">
          <w:marLeft w:val="0"/>
          <w:marRight w:val="0"/>
          <w:marTop w:val="0"/>
          <w:marBottom w:val="0"/>
          <w:divBdr>
            <w:top w:val="none" w:sz="0" w:space="0" w:color="auto"/>
            <w:left w:val="none" w:sz="0" w:space="0" w:color="auto"/>
            <w:bottom w:val="none" w:sz="0" w:space="0" w:color="auto"/>
            <w:right w:val="none" w:sz="0" w:space="0" w:color="auto"/>
          </w:divBdr>
        </w:div>
        <w:div w:id="1263605315">
          <w:marLeft w:val="0"/>
          <w:marRight w:val="0"/>
          <w:marTop w:val="0"/>
          <w:marBottom w:val="0"/>
          <w:divBdr>
            <w:top w:val="none" w:sz="0" w:space="0" w:color="auto"/>
            <w:left w:val="none" w:sz="0" w:space="0" w:color="auto"/>
            <w:bottom w:val="none" w:sz="0" w:space="0" w:color="auto"/>
            <w:right w:val="none" w:sz="0" w:space="0" w:color="auto"/>
          </w:divBdr>
        </w:div>
        <w:div w:id="328212564">
          <w:marLeft w:val="0"/>
          <w:marRight w:val="0"/>
          <w:marTop w:val="0"/>
          <w:marBottom w:val="0"/>
          <w:divBdr>
            <w:top w:val="none" w:sz="0" w:space="0" w:color="auto"/>
            <w:left w:val="none" w:sz="0" w:space="0" w:color="auto"/>
            <w:bottom w:val="none" w:sz="0" w:space="0" w:color="auto"/>
            <w:right w:val="none" w:sz="0" w:space="0" w:color="auto"/>
          </w:divBdr>
        </w:div>
        <w:div w:id="980767447">
          <w:marLeft w:val="0"/>
          <w:marRight w:val="0"/>
          <w:marTop w:val="0"/>
          <w:marBottom w:val="0"/>
          <w:divBdr>
            <w:top w:val="none" w:sz="0" w:space="0" w:color="auto"/>
            <w:left w:val="none" w:sz="0" w:space="0" w:color="auto"/>
            <w:bottom w:val="none" w:sz="0" w:space="0" w:color="auto"/>
            <w:right w:val="none" w:sz="0" w:space="0" w:color="auto"/>
          </w:divBdr>
        </w:div>
        <w:div w:id="832526782">
          <w:marLeft w:val="0"/>
          <w:marRight w:val="0"/>
          <w:marTop w:val="0"/>
          <w:marBottom w:val="0"/>
          <w:divBdr>
            <w:top w:val="none" w:sz="0" w:space="0" w:color="auto"/>
            <w:left w:val="none" w:sz="0" w:space="0" w:color="auto"/>
            <w:bottom w:val="none" w:sz="0" w:space="0" w:color="auto"/>
            <w:right w:val="none" w:sz="0" w:space="0" w:color="auto"/>
          </w:divBdr>
        </w:div>
        <w:div w:id="1619215565">
          <w:marLeft w:val="0"/>
          <w:marRight w:val="0"/>
          <w:marTop w:val="0"/>
          <w:marBottom w:val="0"/>
          <w:divBdr>
            <w:top w:val="none" w:sz="0" w:space="0" w:color="auto"/>
            <w:left w:val="none" w:sz="0" w:space="0" w:color="auto"/>
            <w:bottom w:val="none" w:sz="0" w:space="0" w:color="auto"/>
            <w:right w:val="none" w:sz="0" w:space="0" w:color="auto"/>
          </w:divBdr>
        </w:div>
        <w:div w:id="86192138">
          <w:marLeft w:val="0"/>
          <w:marRight w:val="0"/>
          <w:marTop w:val="0"/>
          <w:marBottom w:val="0"/>
          <w:divBdr>
            <w:top w:val="none" w:sz="0" w:space="0" w:color="auto"/>
            <w:left w:val="none" w:sz="0" w:space="0" w:color="auto"/>
            <w:bottom w:val="none" w:sz="0" w:space="0" w:color="auto"/>
            <w:right w:val="none" w:sz="0" w:space="0" w:color="auto"/>
          </w:divBdr>
        </w:div>
        <w:div w:id="1978339320">
          <w:marLeft w:val="0"/>
          <w:marRight w:val="0"/>
          <w:marTop w:val="0"/>
          <w:marBottom w:val="0"/>
          <w:divBdr>
            <w:top w:val="none" w:sz="0" w:space="0" w:color="auto"/>
            <w:left w:val="none" w:sz="0" w:space="0" w:color="auto"/>
            <w:bottom w:val="none" w:sz="0" w:space="0" w:color="auto"/>
            <w:right w:val="none" w:sz="0" w:space="0" w:color="auto"/>
          </w:divBdr>
        </w:div>
        <w:div w:id="639455192">
          <w:marLeft w:val="0"/>
          <w:marRight w:val="0"/>
          <w:marTop w:val="0"/>
          <w:marBottom w:val="0"/>
          <w:divBdr>
            <w:top w:val="none" w:sz="0" w:space="0" w:color="auto"/>
            <w:left w:val="none" w:sz="0" w:space="0" w:color="auto"/>
            <w:bottom w:val="none" w:sz="0" w:space="0" w:color="auto"/>
            <w:right w:val="none" w:sz="0" w:space="0" w:color="auto"/>
          </w:divBdr>
        </w:div>
        <w:div w:id="853573486">
          <w:marLeft w:val="0"/>
          <w:marRight w:val="0"/>
          <w:marTop w:val="0"/>
          <w:marBottom w:val="0"/>
          <w:divBdr>
            <w:top w:val="none" w:sz="0" w:space="0" w:color="auto"/>
            <w:left w:val="none" w:sz="0" w:space="0" w:color="auto"/>
            <w:bottom w:val="none" w:sz="0" w:space="0" w:color="auto"/>
            <w:right w:val="none" w:sz="0" w:space="0" w:color="auto"/>
          </w:divBdr>
        </w:div>
        <w:div w:id="1181579220">
          <w:marLeft w:val="0"/>
          <w:marRight w:val="0"/>
          <w:marTop w:val="0"/>
          <w:marBottom w:val="0"/>
          <w:divBdr>
            <w:top w:val="none" w:sz="0" w:space="0" w:color="auto"/>
            <w:left w:val="none" w:sz="0" w:space="0" w:color="auto"/>
            <w:bottom w:val="none" w:sz="0" w:space="0" w:color="auto"/>
            <w:right w:val="none" w:sz="0" w:space="0" w:color="auto"/>
          </w:divBdr>
        </w:div>
        <w:div w:id="947808484">
          <w:marLeft w:val="0"/>
          <w:marRight w:val="0"/>
          <w:marTop w:val="0"/>
          <w:marBottom w:val="0"/>
          <w:divBdr>
            <w:top w:val="none" w:sz="0" w:space="0" w:color="auto"/>
            <w:left w:val="none" w:sz="0" w:space="0" w:color="auto"/>
            <w:bottom w:val="none" w:sz="0" w:space="0" w:color="auto"/>
            <w:right w:val="none" w:sz="0" w:space="0" w:color="auto"/>
          </w:divBdr>
        </w:div>
        <w:div w:id="498161894">
          <w:marLeft w:val="0"/>
          <w:marRight w:val="0"/>
          <w:marTop w:val="0"/>
          <w:marBottom w:val="0"/>
          <w:divBdr>
            <w:top w:val="none" w:sz="0" w:space="0" w:color="auto"/>
            <w:left w:val="none" w:sz="0" w:space="0" w:color="auto"/>
            <w:bottom w:val="none" w:sz="0" w:space="0" w:color="auto"/>
            <w:right w:val="none" w:sz="0" w:space="0" w:color="auto"/>
          </w:divBdr>
        </w:div>
        <w:div w:id="219488671">
          <w:marLeft w:val="0"/>
          <w:marRight w:val="0"/>
          <w:marTop w:val="0"/>
          <w:marBottom w:val="0"/>
          <w:divBdr>
            <w:top w:val="none" w:sz="0" w:space="0" w:color="auto"/>
            <w:left w:val="none" w:sz="0" w:space="0" w:color="auto"/>
            <w:bottom w:val="none" w:sz="0" w:space="0" w:color="auto"/>
            <w:right w:val="none" w:sz="0" w:space="0" w:color="auto"/>
          </w:divBdr>
        </w:div>
        <w:div w:id="1589847532">
          <w:marLeft w:val="0"/>
          <w:marRight w:val="0"/>
          <w:marTop w:val="0"/>
          <w:marBottom w:val="0"/>
          <w:divBdr>
            <w:top w:val="none" w:sz="0" w:space="0" w:color="auto"/>
            <w:left w:val="none" w:sz="0" w:space="0" w:color="auto"/>
            <w:bottom w:val="none" w:sz="0" w:space="0" w:color="auto"/>
            <w:right w:val="none" w:sz="0" w:space="0" w:color="auto"/>
          </w:divBdr>
        </w:div>
        <w:div w:id="1811552992">
          <w:marLeft w:val="0"/>
          <w:marRight w:val="0"/>
          <w:marTop w:val="0"/>
          <w:marBottom w:val="0"/>
          <w:divBdr>
            <w:top w:val="none" w:sz="0" w:space="0" w:color="auto"/>
            <w:left w:val="none" w:sz="0" w:space="0" w:color="auto"/>
            <w:bottom w:val="none" w:sz="0" w:space="0" w:color="auto"/>
            <w:right w:val="none" w:sz="0" w:space="0" w:color="auto"/>
          </w:divBdr>
        </w:div>
        <w:div w:id="552081220">
          <w:marLeft w:val="0"/>
          <w:marRight w:val="0"/>
          <w:marTop w:val="0"/>
          <w:marBottom w:val="0"/>
          <w:divBdr>
            <w:top w:val="none" w:sz="0" w:space="0" w:color="auto"/>
            <w:left w:val="none" w:sz="0" w:space="0" w:color="auto"/>
            <w:bottom w:val="none" w:sz="0" w:space="0" w:color="auto"/>
            <w:right w:val="none" w:sz="0" w:space="0" w:color="auto"/>
          </w:divBdr>
        </w:div>
        <w:div w:id="507985802">
          <w:marLeft w:val="0"/>
          <w:marRight w:val="0"/>
          <w:marTop w:val="0"/>
          <w:marBottom w:val="0"/>
          <w:divBdr>
            <w:top w:val="none" w:sz="0" w:space="0" w:color="auto"/>
            <w:left w:val="none" w:sz="0" w:space="0" w:color="auto"/>
            <w:bottom w:val="none" w:sz="0" w:space="0" w:color="auto"/>
            <w:right w:val="none" w:sz="0" w:space="0" w:color="auto"/>
          </w:divBdr>
        </w:div>
        <w:div w:id="626474908">
          <w:marLeft w:val="0"/>
          <w:marRight w:val="0"/>
          <w:marTop w:val="0"/>
          <w:marBottom w:val="0"/>
          <w:divBdr>
            <w:top w:val="none" w:sz="0" w:space="0" w:color="auto"/>
            <w:left w:val="none" w:sz="0" w:space="0" w:color="auto"/>
            <w:bottom w:val="none" w:sz="0" w:space="0" w:color="auto"/>
            <w:right w:val="none" w:sz="0" w:space="0" w:color="auto"/>
          </w:divBdr>
        </w:div>
      </w:divsChild>
    </w:div>
    <w:div w:id="1859194235">
      <w:bodyDiv w:val="1"/>
      <w:marLeft w:val="0"/>
      <w:marRight w:val="0"/>
      <w:marTop w:val="0"/>
      <w:marBottom w:val="0"/>
      <w:divBdr>
        <w:top w:val="none" w:sz="0" w:space="0" w:color="auto"/>
        <w:left w:val="none" w:sz="0" w:space="0" w:color="auto"/>
        <w:bottom w:val="none" w:sz="0" w:space="0" w:color="auto"/>
        <w:right w:val="none" w:sz="0" w:space="0" w:color="auto"/>
      </w:divBdr>
      <w:divsChild>
        <w:div w:id="1389066244">
          <w:marLeft w:val="0"/>
          <w:marRight w:val="0"/>
          <w:marTop w:val="0"/>
          <w:marBottom w:val="0"/>
          <w:divBdr>
            <w:top w:val="none" w:sz="0" w:space="0" w:color="auto"/>
            <w:left w:val="none" w:sz="0" w:space="0" w:color="auto"/>
            <w:bottom w:val="none" w:sz="0" w:space="0" w:color="auto"/>
            <w:right w:val="none" w:sz="0" w:space="0" w:color="auto"/>
          </w:divBdr>
        </w:div>
        <w:div w:id="1503735407">
          <w:marLeft w:val="0"/>
          <w:marRight w:val="0"/>
          <w:marTop w:val="0"/>
          <w:marBottom w:val="0"/>
          <w:divBdr>
            <w:top w:val="none" w:sz="0" w:space="0" w:color="auto"/>
            <w:left w:val="none" w:sz="0" w:space="0" w:color="auto"/>
            <w:bottom w:val="none" w:sz="0" w:space="0" w:color="auto"/>
            <w:right w:val="none" w:sz="0" w:space="0" w:color="auto"/>
          </w:divBdr>
        </w:div>
        <w:div w:id="2127772511">
          <w:marLeft w:val="0"/>
          <w:marRight w:val="0"/>
          <w:marTop w:val="0"/>
          <w:marBottom w:val="0"/>
          <w:divBdr>
            <w:top w:val="none" w:sz="0" w:space="0" w:color="auto"/>
            <w:left w:val="none" w:sz="0" w:space="0" w:color="auto"/>
            <w:bottom w:val="none" w:sz="0" w:space="0" w:color="auto"/>
            <w:right w:val="none" w:sz="0" w:space="0" w:color="auto"/>
          </w:divBdr>
        </w:div>
        <w:div w:id="1287467093">
          <w:marLeft w:val="0"/>
          <w:marRight w:val="0"/>
          <w:marTop w:val="0"/>
          <w:marBottom w:val="0"/>
          <w:divBdr>
            <w:top w:val="none" w:sz="0" w:space="0" w:color="auto"/>
            <w:left w:val="none" w:sz="0" w:space="0" w:color="auto"/>
            <w:bottom w:val="none" w:sz="0" w:space="0" w:color="auto"/>
            <w:right w:val="none" w:sz="0" w:space="0" w:color="auto"/>
          </w:divBdr>
        </w:div>
        <w:div w:id="1095176307">
          <w:marLeft w:val="0"/>
          <w:marRight w:val="0"/>
          <w:marTop w:val="0"/>
          <w:marBottom w:val="0"/>
          <w:divBdr>
            <w:top w:val="none" w:sz="0" w:space="0" w:color="auto"/>
            <w:left w:val="none" w:sz="0" w:space="0" w:color="auto"/>
            <w:bottom w:val="none" w:sz="0" w:space="0" w:color="auto"/>
            <w:right w:val="none" w:sz="0" w:space="0" w:color="auto"/>
          </w:divBdr>
        </w:div>
        <w:div w:id="726145443">
          <w:marLeft w:val="0"/>
          <w:marRight w:val="0"/>
          <w:marTop w:val="0"/>
          <w:marBottom w:val="0"/>
          <w:divBdr>
            <w:top w:val="none" w:sz="0" w:space="0" w:color="auto"/>
            <w:left w:val="none" w:sz="0" w:space="0" w:color="auto"/>
            <w:bottom w:val="none" w:sz="0" w:space="0" w:color="auto"/>
            <w:right w:val="none" w:sz="0" w:space="0" w:color="auto"/>
          </w:divBdr>
        </w:div>
        <w:div w:id="17397163">
          <w:marLeft w:val="0"/>
          <w:marRight w:val="0"/>
          <w:marTop w:val="0"/>
          <w:marBottom w:val="0"/>
          <w:divBdr>
            <w:top w:val="none" w:sz="0" w:space="0" w:color="auto"/>
            <w:left w:val="none" w:sz="0" w:space="0" w:color="auto"/>
            <w:bottom w:val="none" w:sz="0" w:space="0" w:color="auto"/>
            <w:right w:val="none" w:sz="0" w:space="0" w:color="auto"/>
          </w:divBdr>
        </w:div>
        <w:div w:id="1489327268">
          <w:marLeft w:val="0"/>
          <w:marRight w:val="0"/>
          <w:marTop w:val="0"/>
          <w:marBottom w:val="0"/>
          <w:divBdr>
            <w:top w:val="none" w:sz="0" w:space="0" w:color="auto"/>
            <w:left w:val="none" w:sz="0" w:space="0" w:color="auto"/>
            <w:bottom w:val="none" w:sz="0" w:space="0" w:color="auto"/>
            <w:right w:val="none" w:sz="0" w:space="0" w:color="auto"/>
          </w:divBdr>
        </w:div>
        <w:div w:id="653412742">
          <w:marLeft w:val="0"/>
          <w:marRight w:val="0"/>
          <w:marTop w:val="0"/>
          <w:marBottom w:val="0"/>
          <w:divBdr>
            <w:top w:val="none" w:sz="0" w:space="0" w:color="auto"/>
            <w:left w:val="none" w:sz="0" w:space="0" w:color="auto"/>
            <w:bottom w:val="none" w:sz="0" w:space="0" w:color="auto"/>
            <w:right w:val="none" w:sz="0" w:space="0" w:color="auto"/>
          </w:divBdr>
        </w:div>
        <w:div w:id="662658995">
          <w:marLeft w:val="0"/>
          <w:marRight w:val="0"/>
          <w:marTop w:val="0"/>
          <w:marBottom w:val="0"/>
          <w:divBdr>
            <w:top w:val="none" w:sz="0" w:space="0" w:color="auto"/>
            <w:left w:val="none" w:sz="0" w:space="0" w:color="auto"/>
            <w:bottom w:val="none" w:sz="0" w:space="0" w:color="auto"/>
            <w:right w:val="none" w:sz="0" w:space="0" w:color="auto"/>
          </w:divBdr>
        </w:div>
        <w:div w:id="1975675046">
          <w:marLeft w:val="0"/>
          <w:marRight w:val="0"/>
          <w:marTop w:val="0"/>
          <w:marBottom w:val="0"/>
          <w:divBdr>
            <w:top w:val="none" w:sz="0" w:space="0" w:color="auto"/>
            <w:left w:val="none" w:sz="0" w:space="0" w:color="auto"/>
            <w:bottom w:val="none" w:sz="0" w:space="0" w:color="auto"/>
            <w:right w:val="none" w:sz="0" w:space="0" w:color="auto"/>
          </w:divBdr>
        </w:div>
        <w:div w:id="1535802437">
          <w:marLeft w:val="0"/>
          <w:marRight w:val="0"/>
          <w:marTop w:val="0"/>
          <w:marBottom w:val="0"/>
          <w:divBdr>
            <w:top w:val="none" w:sz="0" w:space="0" w:color="auto"/>
            <w:left w:val="none" w:sz="0" w:space="0" w:color="auto"/>
            <w:bottom w:val="none" w:sz="0" w:space="0" w:color="auto"/>
            <w:right w:val="none" w:sz="0" w:space="0" w:color="auto"/>
          </w:divBdr>
        </w:div>
        <w:div w:id="195124350">
          <w:marLeft w:val="0"/>
          <w:marRight w:val="0"/>
          <w:marTop w:val="0"/>
          <w:marBottom w:val="0"/>
          <w:divBdr>
            <w:top w:val="none" w:sz="0" w:space="0" w:color="auto"/>
            <w:left w:val="none" w:sz="0" w:space="0" w:color="auto"/>
            <w:bottom w:val="none" w:sz="0" w:space="0" w:color="auto"/>
            <w:right w:val="none" w:sz="0" w:space="0" w:color="auto"/>
          </w:divBdr>
        </w:div>
        <w:div w:id="8723061">
          <w:marLeft w:val="0"/>
          <w:marRight w:val="0"/>
          <w:marTop w:val="0"/>
          <w:marBottom w:val="0"/>
          <w:divBdr>
            <w:top w:val="none" w:sz="0" w:space="0" w:color="auto"/>
            <w:left w:val="none" w:sz="0" w:space="0" w:color="auto"/>
            <w:bottom w:val="none" w:sz="0" w:space="0" w:color="auto"/>
            <w:right w:val="none" w:sz="0" w:space="0" w:color="auto"/>
          </w:divBdr>
        </w:div>
        <w:div w:id="253129705">
          <w:marLeft w:val="0"/>
          <w:marRight w:val="0"/>
          <w:marTop w:val="0"/>
          <w:marBottom w:val="0"/>
          <w:divBdr>
            <w:top w:val="none" w:sz="0" w:space="0" w:color="auto"/>
            <w:left w:val="none" w:sz="0" w:space="0" w:color="auto"/>
            <w:bottom w:val="none" w:sz="0" w:space="0" w:color="auto"/>
            <w:right w:val="none" w:sz="0" w:space="0" w:color="auto"/>
          </w:divBdr>
        </w:div>
        <w:div w:id="1523013865">
          <w:marLeft w:val="0"/>
          <w:marRight w:val="0"/>
          <w:marTop w:val="0"/>
          <w:marBottom w:val="0"/>
          <w:divBdr>
            <w:top w:val="none" w:sz="0" w:space="0" w:color="auto"/>
            <w:left w:val="none" w:sz="0" w:space="0" w:color="auto"/>
            <w:bottom w:val="none" w:sz="0" w:space="0" w:color="auto"/>
            <w:right w:val="none" w:sz="0" w:space="0" w:color="auto"/>
          </w:divBdr>
        </w:div>
        <w:div w:id="120542540">
          <w:marLeft w:val="0"/>
          <w:marRight w:val="0"/>
          <w:marTop w:val="0"/>
          <w:marBottom w:val="0"/>
          <w:divBdr>
            <w:top w:val="none" w:sz="0" w:space="0" w:color="auto"/>
            <w:left w:val="none" w:sz="0" w:space="0" w:color="auto"/>
            <w:bottom w:val="none" w:sz="0" w:space="0" w:color="auto"/>
            <w:right w:val="none" w:sz="0" w:space="0" w:color="auto"/>
          </w:divBdr>
        </w:div>
        <w:div w:id="1551963883">
          <w:marLeft w:val="0"/>
          <w:marRight w:val="0"/>
          <w:marTop w:val="0"/>
          <w:marBottom w:val="0"/>
          <w:divBdr>
            <w:top w:val="none" w:sz="0" w:space="0" w:color="auto"/>
            <w:left w:val="none" w:sz="0" w:space="0" w:color="auto"/>
            <w:bottom w:val="none" w:sz="0" w:space="0" w:color="auto"/>
            <w:right w:val="none" w:sz="0" w:space="0" w:color="auto"/>
          </w:divBdr>
        </w:div>
        <w:div w:id="1148091058">
          <w:marLeft w:val="0"/>
          <w:marRight w:val="0"/>
          <w:marTop w:val="0"/>
          <w:marBottom w:val="0"/>
          <w:divBdr>
            <w:top w:val="none" w:sz="0" w:space="0" w:color="auto"/>
            <w:left w:val="none" w:sz="0" w:space="0" w:color="auto"/>
            <w:bottom w:val="none" w:sz="0" w:space="0" w:color="auto"/>
            <w:right w:val="none" w:sz="0" w:space="0" w:color="auto"/>
          </w:divBdr>
        </w:div>
        <w:div w:id="526724143">
          <w:marLeft w:val="0"/>
          <w:marRight w:val="0"/>
          <w:marTop w:val="0"/>
          <w:marBottom w:val="0"/>
          <w:divBdr>
            <w:top w:val="none" w:sz="0" w:space="0" w:color="auto"/>
            <w:left w:val="none" w:sz="0" w:space="0" w:color="auto"/>
            <w:bottom w:val="none" w:sz="0" w:space="0" w:color="auto"/>
            <w:right w:val="none" w:sz="0" w:space="0" w:color="auto"/>
          </w:divBdr>
        </w:div>
        <w:div w:id="370544549">
          <w:marLeft w:val="0"/>
          <w:marRight w:val="0"/>
          <w:marTop w:val="0"/>
          <w:marBottom w:val="0"/>
          <w:divBdr>
            <w:top w:val="none" w:sz="0" w:space="0" w:color="auto"/>
            <w:left w:val="none" w:sz="0" w:space="0" w:color="auto"/>
            <w:bottom w:val="none" w:sz="0" w:space="0" w:color="auto"/>
            <w:right w:val="none" w:sz="0" w:space="0" w:color="auto"/>
          </w:divBdr>
        </w:div>
        <w:div w:id="943152104">
          <w:marLeft w:val="0"/>
          <w:marRight w:val="0"/>
          <w:marTop w:val="0"/>
          <w:marBottom w:val="0"/>
          <w:divBdr>
            <w:top w:val="none" w:sz="0" w:space="0" w:color="auto"/>
            <w:left w:val="none" w:sz="0" w:space="0" w:color="auto"/>
            <w:bottom w:val="none" w:sz="0" w:space="0" w:color="auto"/>
            <w:right w:val="none" w:sz="0" w:space="0" w:color="auto"/>
          </w:divBdr>
        </w:div>
        <w:div w:id="1917932783">
          <w:marLeft w:val="0"/>
          <w:marRight w:val="0"/>
          <w:marTop w:val="0"/>
          <w:marBottom w:val="0"/>
          <w:divBdr>
            <w:top w:val="none" w:sz="0" w:space="0" w:color="auto"/>
            <w:left w:val="none" w:sz="0" w:space="0" w:color="auto"/>
            <w:bottom w:val="none" w:sz="0" w:space="0" w:color="auto"/>
            <w:right w:val="none" w:sz="0" w:space="0" w:color="auto"/>
          </w:divBdr>
        </w:div>
      </w:divsChild>
    </w:div>
    <w:div w:id="1942646037">
      <w:bodyDiv w:val="1"/>
      <w:marLeft w:val="0"/>
      <w:marRight w:val="0"/>
      <w:marTop w:val="0"/>
      <w:marBottom w:val="0"/>
      <w:divBdr>
        <w:top w:val="none" w:sz="0" w:space="0" w:color="auto"/>
        <w:left w:val="none" w:sz="0" w:space="0" w:color="auto"/>
        <w:bottom w:val="none" w:sz="0" w:space="0" w:color="auto"/>
        <w:right w:val="none" w:sz="0" w:space="0" w:color="auto"/>
      </w:divBdr>
    </w:div>
    <w:div w:id="1952935276">
      <w:bodyDiv w:val="1"/>
      <w:marLeft w:val="0"/>
      <w:marRight w:val="0"/>
      <w:marTop w:val="0"/>
      <w:marBottom w:val="0"/>
      <w:divBdr>
        <w:top w:val="none" w:sz="0" w:space="0" w:color="auto"/>
        <w:left w:val="none" w:sz="0" w:space="0" w:color="auto"/>
        <w:bottom w:val="none" w:sz="0" w:space="0" w:color="auto"/>
        <w:right w:val="none" w:sz="0" w:space="0" w:color="auto"/>
      </w:divBdr>
      <w:divsChild>
        <w:div w:id="2016878556">
          <w:marLeft w:val="0"/>
          <w:marRight w:val="0"/>
          <w:marTop w:val="0"/>
          <w:marBottom w:val="0"/>
          <w:divBdr>
            <w:top w:val="none" w:sz="0" w:space="0" w:color="auto"/>
            <w:left w:val="none" w:sz="0" w:space="0" w:color="auto"/>
            <w:bottom w:val="none" w:sz="0" w:space="0" w:color="auto"/>
            <w:right w:val="none" w:sz="0" w:space="0" w:color="auto"/>
          </w:divBdr>
        </w:div>
        <w:div w:id="1601640419">
          <w:marLeft w:val="0"/>
          <w:marRight w:val="0"/>
          <w:marTop w:val="0"/>
          <w:marBottom w:val="0"/>
          <w:divBdr>
            <w:top w:val="none" w:sz="0" w:space="0" w:color="auto"/>
            <w:left w:val="none" w:sz="0" w:space="0" w:color="auto"/>
            <w:bottom w:val="none" w:sz="0" w:space="0" w:color="auto"/>
            <w:right w:val="none" w:sz="0" w:space="0" w:color="auto"/>
          </w:divBdr>
        </w:div>
        <w:div w:id="1603226428">
          <w:marLeft w:val="0"/>
          <w:marRight w:val="0"/>
          <w:marTop w:val="0"/>
          <w:marBottom w:val="0"/>
          <w:divBdr>
            <w:top w:val="none" w:sz="0" w:space="0" w:color="auto"/>
            <w:left w:val="none" w:sz="0" w:space="0" w:color="auto"/>
            <w:bottom w:val="none" w:sz="0" w:space="0" w:color="auto"/>
            <w:right w:val="none" w:sz="0" w:space="0" w:color="auto"/>
          </w:divBdr>
        </w:div>
        <w:div w:id="1545630862">
          <w:marLeft w:val="0"/>
          <w:marRight w:val="0"/>
          <w:marTop w:val="0"/>
          <w:marBottom w:val="0"/>
          <w:divBdr>
            <w:top w:val="none" w:sz="0" w:space="0" w:color="auto"/>
            <w:left w:val="none" w:sz="0" w:space="0" w:color="auto"/>
            <w:bottom w:val="none" w:sz="0" w:space="0" w:color="auto"/>
            <w:right w:val="none" w:sz="0" w:space="0" w:color="auto"/>
          </w:divBdr>
        </w:div>
        <w:div w:id="190995344">
          <w:marLeft w:val="0"/>
          <w:marRight w:val="0"/>
          <w:marTop w:val="0"/>
          <w:marBottom w:val="0"/>
          <w:divBdr>
            <w:top w:val="none" w:sz="0" w:space="0" w:color="auto"/>
            <w:left w:val="none" w:sz="0" w:space="0" w:color="auto"/>
            <w:bottom w:val="none" w:sz="0" w:space="0" w:color="auto"/>
            <w:right w:val="none" w:sz="0" w:space="0" w:color="auto"/>
          </w:divBdr>
        </w:div>
        <w:div w:id="1350644739">
          <w:marLeft w:val="0"/>
          <w:marRight w:val="0"/>
          <w:marTop w:val="0"/>
          <w:marBottom w:val="0"/>
          <w:divBdr>
            <w:top w:val="none" w:sz="0" w:space="0" w:color="auto"/>
            <w:left w:val="none" w:sz="0" w:space="0" w:color="auto"/>
            <w:bottom w:val="none" w:sz="0" w:space="0" w:color="auto"/>
            <w:right w:val="none" w:sz="0" w:space="0" w:color="auto"/>
          </w:divBdr>
        </w:div>
        <w:div w:id="1671449624">
          <w:marLeft w:val="0"/>
          <w:marRight w:val="0"/>
          <w:marTop w:val="0"/>
          <w:marBottom w:val="0"/>
          <w:divBdr>
            <w:top w:val="none" w:sz="0" w:space="0" w:color="auto"/>
            <w:left w:val="none" w:sz="0" w:space="0" w:color="auto"/>
            <w:bottom w:val="none" w:sz="0" w:space="0" w:color="auto"/>
            <w:right w:val="none" w:sz="0" w:space="0" w:color="auto"/>
          </w:divBdr>
        </w:div>
        <w:div w:id="1441686737">
          <w:marLeft w:val="0"/>
          <w:marRight w:val="0"/>
          <w:marTop w:val="0"/>
          <w:marBottom w:val="0"/>
          <w:divBdr>
            <w:top w:val="none" w:sz="0" w:space="0" w:color="auto"/>
            <w:left w:val="none" w:sz="0" w:space="0" w:color="auto"/>
            <w:bottom w:val="none" w:sz="0" w:space="0" w:color="auto"/>
            <w:right w:val="none" w:sz="0" w:space="0" w:color="auto"/>
          </w:divBdr>
        </w:div>
        <w:div w:id="1276789339">
          <w:marLeft w:val="0"/>
          <w:marRight w:val="0"/>
          <w:marTop w:val="0"/>
          <w:marBottom w:val="0"/>
          <w:divBdr>
            <w:top w:val="none" w:sz="0" w:space="0" w:color="auto"/>
            <w:left w:val="none" w:sz="0" w:space="0" w:color="auto"/>
            <w:bottom w:val="none" w:sz="0" w:space="0" w:color="auto"/>
            <w:right w:val="none" w:sz="0" w:space="0" w:color="auto"/>
          </w:divBdr>
        </w:div>
        <w:div w:id="1198660393">
          <w:marLeft w:val="0"/>
          <w:marRight w:val="0"/>
          <w:marTop w:val="0"/>
          <w:marBottom w:val="0"/>
          <w:divBdr>
            <w:top w:val="none" w:sz="0" w:space="0" w:color="auto"/>
            <w:left w:val="none" w:sz="0" w:space="0" w:color="auto"/>
            <w:bottom w:val="none" w:sz="0" w:space="0" w:color="auto"/>
            <w:right w:val="none" w:sz="0" w:space="0" w:color="auto"/>
          </w:divBdr>
        </w:div>
        <w:div w:id="124811099">
          <w:marLeft w:val="0"/>
          <w:marRight w:val="0"/>
          <w:marTop w:val="0"/>
          <w:marBottom w:val="0"/>
          <w:divBdr>
            <w:top w:val="none" w:sz="0" w:space="0" w:color="auto"/>
            <w:left w:val="none" w:sz="0" w:space="0" w:color="auto"/>
            <w:bottom w:val="none" w:sz="0" w:space="0" w:color="auto"/>
            <w:right w:val="none" w:sz="0" w:space="0" w:color="auto"/>
          </w:divBdr>
        </w:div>
        <w:div w:id="21592526">
          <w:marLeft w:val="0"/>
          <w:marRight w:val="0"/>
          <w:marTop w:val="0"/>
          <w:marBottom w:val="0"/>
          <w:divBdr>
            <w:top w:val="none" w:sz="0" w:space="0" w:color="auto"/>
            <w:left w:val="none" w:sz="0" w:space="0" w:color="auto"/>
            <w:bottom w:val="none" w:sz="0" w:space="0" w:color="auto"/>
            <w:right w:val="none" w:sz="0" w:space="0" w:color="auto"/>
          </w:divBdr>
        </w:div>
        <w:div w:id="166098568">
          <w:marLeft w:val="0"/>
          <w:marRight w:val="0"/>
          <w:marTop w:val="0"/>
          <w:marBottom w:val="0"/>
          <w:divBdr>
            <w:top w:val="none" w:sz="0" w:space="0" w:color="auto"/>
            <w:left w:val="none" w:sz="0" w:space="0" w:color="auto"/>
            <w:bottom w:val="none" w:sz="0" w:space="0" w:color="auto"/>
            <w:right w:val="none" w:sz="0" w:space="0" w:color="auto"/>
          </w:divBdr>
        </w:div>
        <w:div w:id="1603764027">
          <w:marLeft w:val="0"/>
          <w:marRight w:val="0"/>
          <w:marTop w:val="0"/>
          <w:marBottom w:val="0"/>
          <w:divBdr>
            <w:top w:val="none" w:sz="0" w:space="0" w:color="auto"/>
            <w:left w:val="none" w:sz="0" w:space="0" w:color="auto"/>
            <w:bottom w:val="none" w:sz="0" w:space="0" w:color="auto"/>
            <w:right w:val="none" w:sz="0" w:space="0" w:color="auto"/>
          </w:divBdr>
        </w:div>
        <w:div w:id="608854530">
          <w:marLeft w:val="0"/>
          <w:marRight w:val="0"/>
          <w:marTop w:val="0"/>
          <w:marBottom w:val="0"/>
          <w:divBdr>
            <w:top w:val="none" w:sz="0" w:space="0" w:color="auto"/>
            <w:left w:val="none" w:sz="0" w:space="0" w:color="auto"/>
            <w:bottom w:val="none" w:sz="0" w:space="0" w:color="auto"/>
            <w:right w:val="none" w:sz="0" w:space="0" w:color="auto"/>
          </w:divBdr>
        </w:div>
        <w:div w:id="160128064">
          <w:marLeft w:val="0"/>
          <w:marRight w:val="0"/>
          <w:marTop w:val="0"/>
          <w:marBottom w:val="0"/>
          <w:divBdr>
            <w:top w:val="none" w:sz="0" w:space="0" w:color="auto"/>
            <w:left w:val="none" w:sz="0" w:space="0" w:color="auto"/>
            <w:bottom w:val="none" w:sz="0" w:space="0" w:color="auto"/>
            <w:right w:val="none" w:sz="0" w:space="0" w:color="auto"/>
          </w:divBdr>
        </w:div>
        <w:div w:id="941375363">
          <w:marLeft w:val="0"/>
          <w:marRight w:val="0"/>
          <w:marTop w:val="0"/>
          <w:marBottom w:val="0"/>
          <w:divBdr>
            <w:top w:val="none" w:sz="0" w:space="0" w:color="auto"/>
            <w:left w:val="none" w:sz="0" w:space="0" w:color="auto"/>
            <w:bottom w:val="none" w:sz="0" w:space="0" w:color="auto"/>
            <w:right w:val="none" w:sz="0" w:space="0" w:color="auto"/>
          </w:divBdr>
        </w:div>
        <w:div w:id="308243351">
          <w:marLeft w:val="0"/>
          <w:marRight w:val="0"/>
          <w:marTop w:val="0"/>
          <w:marBottom w:val="0"/>
          <w:divBdr>
            <w:top w:val="none" w:sz="0" w:space="0" w:color="auto"/>
            <w:left w:val="none" w:sz="0" w:space="0" w:color="auto"/>
            <w:bottom w:val="none" w:sz="0" w:space="0" w:color="auto"/>
            <w:right w:val="none" w:sz="0" w:space="0" w:color="auto"/>
          </w:divBdr>
        </w:div>
        <w:div w:id="446777889">
          <w:marLeft w:val="0"/>
          <w:marRight w:val="0"/>
          <w:marTop w:val="0"/>
          <w:marBottom w:val="0"/>
          <w:divBdr>
            <w:top w:val="none" w:sz="0" w:space="0" w:color="auto"/>
            <w:left w:val="none" w:sz="0" w:space="0" w:color="auto"/>
            <w:bottom w:val="none" w:sz="0" w:space="0" w:color="auto"/>
            <w:right w:val="none" w:sz="0" w:space="0" w:color="auto"/>
          </w:divBdr>
        </w:div>
        <w:div w:id="2022001813">
          <w:marLeft w:val="0"/>
          <w:marRight w:val="0"/>
          <w:marTop w:val="0"/>
          <w:marBottom w:val="0"/>
          <w:divBdr>
            <w:top w:val="none" w:sz="0" w:space="0" w:color="auto"/>
            <w:left w:val="none" w:sz="0" w:space="0" w:color="auto"/>
            <w:bottom w:val="none" w:sz="0" w:space="0" w:color="auto"/>
            <w:right w:val="none" w:sz="0" w:space="0" w:color="auto"/>
          </w:divBdr>
        </w:div>
        <w:div w:id="60758438">
          <w:marLeft w:val="0"/>
          <w:marRight w:val="0"/>
          <w:marTop w:val="0"/>
          <w:marBottom w:val="0"/>
          <w:divBdr>
            <w:top w:val="none" w:sz="0" w:space="0" w:color="auto"/>
            <w:left w:val="none" w:sz="0" w:space="0" w:color="auto"/>
            <w:bottom w:val="none" w:sz="0" w:space="0" w:color="auto"/>
            <w:right w:val="none" w:sz="0" w:space="0" w:color="auto"/>
          </w:divBdr>
        </w:div>
      </w:divsChild>
    </w:div>
    <w:div w:id="1982729501">
      <w:bodyDiv w:val="1"/>
      <w:marLeft w:val="0"/>
      <w:marRight w:val="0"/>
      <w:marTop w:val="0"/>
      <w:marBottom w:val="0"/>
      <w:divBdr>
        <w:top w:val="none" w:sz="0" w:space="0" w:color="auto"/>
        <w:left w:val="none" w:sz="0" w:space="0" w:color="auto"/>
        <w:bottom w:val="none" w:sz="0" w:space="0" w:color="auto"/>
        <w:right w:val="none" w:sz="0" w:space="0" w:color="auto"/>
      </w:divBdr>
      <w:divsChild>
        <w:div w:id="1388844669">
          <w:marLeft w:val="0"/>
          <w:marRight w:val="0"/>
          <w:marTop w:val="0"/>
          <w:marBottom w:val="0"/>
          <w:divBdr>
            <w:top w:val="none" w:sz="0" w:space="0" w:color="auto"/>
            <w:left w:val="none" w:sz="0" w:space="0" w:color="auto"/>
            <w:bottom w:val="none" w:sz="0" w:space="0" w:color="auto"/>
            <w:right w:val="none" w:sz="0" w:space="0" w:color="auto"/>
          </w:divBdr>
        </w:div>
        <w:div w:id="1487432323">
          <w:marLeft w:val="0"/>
          <w:marRight w:val="0"/>
          <w:marTop w:val="0"/>
          <w:marBottom w:val="0"/>
          <w:divBdr>
            <w:top w:val="none" w:sz="0" w:space="0" w:color="auto"/>
            <w:left w:val="none" w:sz="0" w:space="0" w:color="auto"/>
            <w:bottom w:val="none" w:sz="0" w:space="0" w:color="auto"/>
            <w:right w:val="none" w:sz="0" w:space="0" w:color="auto"/>
          </w:divBdr>
        </w:div>
        <w:div w:id="1282566269">
          <w:marLeft w:val="0"/>
          <w:marRight w:val="0"/>
          <w:marTop w:val="0"/>
          <w:marBottom w:val="0"/>
          <w:divBdr>
            <w:top w:val="none" w:sz="0" w:space="0" w:color="auto"/>
            <w:left w:val="none" w:sz="0" w:space="0" w:color="auto"/>
            <w:bottom w:val="none" w:sz="0" w:space="0" w:color="auto"/>
            <w:right w:val="none" w:sz="0" w:space="0" w:color="auto"/>
          </w:divBdr>
        </w:div>
        <w:div w:id="1032000187">
          <w:marLeft w:val="0"/>
          <w:marRight w:val="0"/>
          <w:marTop w:val="0"/>
          <w:marBottom w:val="0"/>
          <w:divBdr>
            <w:top w:val="none" w:sz="0" w:space="0" w:color="auto"/>
            <w:left w:val="none" w:sz="0" w:space="0" w:color="auto"/>
            <w:bottom w:val="none" w:sz="0" w:space="0" w:color="auto"/>
            <w:right w:val="none" w:sz="0" w:space="0" w:color="auto"/>
          </w:divBdr>
        </w:div>
        <w:div w:id="413892004">
          <w:marLeft w:val="0"/>
          <w:marRight w:val="0"/>
          <w:marTop w:val="0"/>
          <w:marBottom w:val="0"/>
          <w:divBdr>
            <w:top w:val="none" w:sz="0" w:space="0" w:color="auto"/>
            <w:left w:val="none" w:sz="0" w:space="0" w:color="auto"/>
            <w:bottom w:val="none" w:sz="0" w:space="0" w:color="auto"/>
            <w:right w:val="none" w:sz="0" w:space="0" w:color="auto"/>
          </w:divBdr>
        </w:div>
        <w:div w:id="1013458113">
          <w:marLeft w:val="0"/>
          <w:marRight w:val="0"/>
          <w:marTop w:val="0"/>
          <w:marBottom w:val="0"/>
          <w:divBdr>
            <w:top w:val="none" w:sz="0" w:space="0" w:color="auto"/>
            <w:left w:val="none" w:sz="0" w:space="0" w:color="auto"/>
            <w:bottom w:val="none" w:sz="0" w:space="0" w:color="auto"/>
            <w:right w:val="none" w:sz="0" w:space="0" w:color="auto"/>
          </w:divBdr>
        </w:div>
        <w:div w:id="420876425">
          <w:marLeft w:val="0"/>
          <w:marRight w:val="0"/>
          <w:marTop w:val="0"/>
          <w:marBottom w:val="0"/>
          <w:divBdr>
            <w:top w:val="none" w:sz="0" w:space="0" w:color="auto"/>
            <w:left w:val="none" w:sz="0" w:space="0" w:color="auto"/>
            <w:bottom w:val="none" w:sz="0" w:space="0" w:color="auto"/>
            <w:right w:val="none" w:sz="0" w:space="0" w:color="auto"/>
          </w:divBdr>
        </w:div>
        <w:div w:id="1955552137">
          <w:marLeft w:val="0"/>
          <w:marRight w:val="0"/>
          <w:marTop w:val="0"/>
          <w:marBottom w:val="0"/>
          <w:divBdr>
            <w:top w:val="none" w:sz="0" w:space="0" w:color="auto"/>
            <w:left w:val="none" w:sz="0" w:space="0" w:color="auto"/>
            <w:bottom w:val="none" w:sz="0" w:space="0" w:color="auto"/>
            <w:right w:val="none" w:sz="0" w:space="0" w:color="auto"/>
          </w:divBdr>
        </w:div>
        <w:div w:id="1045761682">
          <w:marLeft w:val="0"/>
          <w:marRight w:val="0"/>
          <w:marTop w:val="0"/>
          <w:marBottom w:val="0"/>
          <w:divBdr>
            <w:top w:val="none" w:sz="0" w:space="0" w:color="auto"/>
            <w:left w:val="none" w:sz="0" w:space="0" w:color="auto"/>
            <w:bottom w:val="none" w:sz="0" w:space="0" w:color="auto"/>
            <w:right w:val="none" w:sz="0" w:space="0" w:color="auto"/>
          </w:divBdr>
        </w:div>
        <w:div w:id="21323391">
          <w:marLeft w:val="0"/>
          <w:marRight w:val="0"/>
          <w:marTop w:val="0"/>
          <w:marBottom w:val="0"/>
          <w:divBdr>
            <w:top w:val="none" w:sz="0" w:space="0" w:color="auto"/>
            <w:left w:val="none" w:sz="0" w:space="0" w:color="auto"/>
            <w:bottom w:val="none" w:sz="0" w:space="0" w:color="auto"/>
            <w:right w:val="none" w:sz="0" w:space="0" w:color="auto"/>
          </w:divBdr>
        </w:div>
        <w:div w:id="1425296158">
          <w:marLeft w:val="0"/>
          <w:marRight w:val="0"/>
          <w:marTop w:val="0"/>
          <w:marBottom w:val="0"/>
          <w:divBdr>
            <w:top w:val="none" w:sz="0" w:space="0" w:color="auto"/>
            <w:left w:val="none" w:sz="0" w:space="0" w:color="auto"/>
            <w:bottom w:val="none" w:sz="0" w:space="0" w:color="auto"/>
            <w:right w:val="none" w:sz="0" w:space="0" w:color="auto"/>
          </w:divBdr>
        </w:div>
        <w:div w:id="1315840430">
          <w:marLeft w:val="0"/>
          <w:marRight w:val="0"/>
          <w:marTop w:val="0"/>
          <w:marBottom w:val="0"/>
          <w:divBdr>
            <w:top w:val="none" w:sz="0" w:space="0" w:color="auto"/>
            <w:left w:val="none" w:sz="0" w:space="0" w:color="auto"/>
            <w:bottom w:val="none" w:sz="0" w:space="0" w:color="auto"/>
            <w:right w:val="none" w:sz="0" w:space="0" w:color="auto"/>
          </w:divBdr>
        </w:div>
        <w:div w:id="387077559">
          <w:marLeft w:val="0"/>
          <w:marRight w:val="0"/>
          <w:marTop w:val="0"/>
          <w:marBottom w:val="0"/>
          <w:divBdr>
            <w:top w:val="none" w:sz="0" w:space="0" w:color="auto"/>
            <w:left w:val="none" w:sz="0" w:space="0" w:color="auto"/>
            <w:bottom w:val="none" w:sz="0" w:space="0" w:color="auto"/>
            <w:right w:val="none" w:sz="0" w:space="0" w:color="auto"/>
          </w:divBdr>
        </w:div>
        <w:div w:id="1835685782">
          <w:marLeft w:val="0"/>
          <w:marRight w:val="0"/>
          <w:marTop w:val="0"/>
          <w:marBottom w:val="0"/>
          <w:divBdr>
            <w:top w:val="none" w:sz="0" w:space="0" w:color="auto"/>
            <w:left w:val="none" w:sz="0" w:space="0" w:color="auto"/>
            <w:bottom w:val="none" w:sz="0" w:space="0" w:color="auto"/>
            <w:right w:val="none" w:sz="0" w:space="0" w:color="auto"/>
          </w:divBdr>
        </w:div>
        <w:div w:id="697318398">
          <w:marLeft w:val="0"/>
          <w:marRight w:val="0"/>
          <w:marTop w:val="0"/>
          <w:marBottom w:val="0"/>
          <w:divBdr>
            <w:top w:val="none" w:sz="0" w:space="0" w:color="auto"/>
            <w:left w:val="none" w:sz="0" w:space="0" w:color="auto"/>
            <w:bottom w:val="none" w:sz="0" w:space="0" w:color="auto"/>
            <w:right w:val="none" w:sz="0" w:space="0" w:color="auto"/>
          </w:divBdr>
        </w:div>
        <w:div w:id="720634249">
          <w:marLeft w:val="0"/>
          <w:marRight w:val="0"/>
          <w:marTop w:val="0"/>
          <w:marBottom w:val="0"/>
          <w:divBdr>
            <w:top w:val="none" w:sz="0" w:space="0" w:color="auto"/>
            <w:left w:val="none" w:sz="0" w:space="0" w:color="auto"/>
            <w:bottom w:val="none" w:sz="0" w:space="0" w:color="auto"/>
            <w:right w:val="none" w:sz="0" w:space="0" w:color="auto"/>
          </w:divBdr>
        </w:div>
        <w:div w:id="1602571028">
          <w:marLeft w:val="0"/>
          <w:marRight w:val="0"/>
          <w:marTop w:val="0"/>
          <w:marBottom w:val="0"/>
          <w:divBdr>
            <w:top w:val="none" w:sz="0" w:space="0" w:color="auto"/>
            <w:left w:val="none" w:sz="0" w:space="0" w:color="auto"/>
            <w:bottom w:val="none" w:sz="0" w:space="0" w:color="auto"/>
            <w:right w:val="none" w:sz="0" w:space="0" w:color="auto"/>
          </w:divBdr>
        </w:div>
        <w:div w:id="1367605283">
          <w:marLeft w:val="0"/>
          <w:marRight w:val="0"/>
          <w:marTop w:val="0"/>
          <w:marBottom w:val="0"/>
          <w:divBdr>
            <w:top w:val="none" w:sz="0" w:space="0" w:color="auto"/>
            <w:left w:val="none" w:sz="0" w:space="0" w:color="auto"/>
            <w:bottom w:val="none" w:sz="0" w:space="0" w:color="auto"/>
            <w:right w:val="none" w:sz="0" w:space="0" w:color="auto"/>
          </w:divBdr>
        </w:div>
        <w:div w:id="1271085657">
          <w:marLeft w:val="0"/>
          <w:marRight w:val="0"/>
          <w:marTop w:val="0"/>
          <w:marBottom w:val="0"/>
          <w:divBdr>
            <w:top w:val="none" w:sz="0" w:space="0" w:color="auto"/>
            <w:left w:val="none" w:sz="0" w:space="0" w:color="auto"/>
            <w:bottom w:val="none" w:sz="0" w:space="0" w:color="auto"/>
            <w:right w:val="none" w:sz="0" w:space="0" w:color="auto"/>
          </w:divBdr>
        </w:div>
      </w:divsChild>
    </w:div>
    <w:div w:id="1987003076">
      <w:bodyDiv w:val="1"/>
      <w:marLeft w:val="0"/>
      <w:marRight w:val="0"/>
      <w:marTop w:val="0"/>
      <w:marBottom w:val="0"/>
      <w:divBdr>
        <w:top w:val="none" w:sz="0" w:space="0" w:color="auto"/>
        <w:left w:val="none" w:sz="0" w:space="0" w:color="auto"/>
        <w:bottom w:val="none" w:sz="0" w:space="0" w:color="auto"/>
        <w:right w:val="none" w:sz="0" w:space="0" w:color="auto"/>
      </w:divBdr>
      <w:divsChild>
        <w:div w:id="2113933471">
          <w:marLeft w:val="0"/>
          <w:marRight w:val="0"/>
          <w:marTop w:val="0"/>
          <w:marBottom w:val="0"/>
          <w:divBdr>
            <w:top w:val="none" w:sz="0" w:space="0" w:color="auto"/>
            <w:left w:val="none" w:sz="0" w:space="0" w:color="auto"/>
            <w:bottom w:val="none" w:sz="0" w:space="0" w:color="auto"/>
            <w:right w:val="none" w:sz="0" w:space="0" w:color="auto"/>
          </w:divBdr>
        </w:div>
        <w:div w:id="889071525">
          <w:marLeft w:val="0"/>
          <w:marRight w:val="0"/>
          <w:marTop w:val="0"/>
          <w:marBottom w:val="0"/>
          <w:divBdr>
            <w:top w:val="none" w:sz="0" w:space="0" w:color="auto"/>
            <w:left w:val="none" w:sz="0" w:space="0" w:color="auto"/>
            <w:bottom w:val="none" w:sz="0" w:space="0" w:color="auto"/>
            <w:right w:val="none" w:sz="0" w:space="0" w:color="auto"/>
          </w:divBdr>
        </w:div>
        <w:div w:id="2096395317">
          <w:marLeft w:val="0"/>
          <w:marRight w:val="0"/>
          <w:marTop w:val="0"/>
          <w:marBottom w:val="0"/>
          <w:divBdr>
            <w:top w:val="none" w:sz="0" w:space="0" w:color="auto"/>
            <w:left w:val="none" w:sz="0" w:space="0" w:color="auto"/>
            <w:bottom w:val="none" w:sz="0" w:space="0" w:color="auto"/>
            <w:right w:val="none" w:sz="0" w:space="0" w:color="auto"/>
          </w:divBdr>
        </w:div>
        <w:div w:id="1270235681">
          <w:marLeft w:val="0"/>
          <w:marRight w:val="0"/>
          <w:marTop w:val="0"/>
          <w:marBottom w:val="0"/>
          <w:divBdr>
            <w:top w:val="none" w:sz="0" w:space="0" w:color="auto"/>
            <w:left w:val="none" w:sz="0" w:space="0" w:color="auto"/>
            <w:bottom w:val="none" w:sz="0" w:space="0" w:color="auto"/>
            <w:right w:val="none" w:sz="0" w:space="0" w:color="auto"/>
          </w:divBdr>
        </w:div>
        <w:div w:id="280306372">
          <w:marLeft w:val="0"/>
          <w:marRight w:val="0"/>
          <w:marTop w:val="0"/>
          <w:marBottom w:val="0"/>
          <w:divBdr>
            <w:top w:val="none" w:sz="0" w:space="0" w:color="auto"/>
            <w:left w:val="none" w:sz="0" w:space="0" w:color="auto"/>
            <w:bottom w:val="none" w:sz="0" w:space="0" w:color="auto"/>
            <w:right w:val="none" w:sz="0" w:space="0" w:color="auto"/>
          </w:divBdr>
        </w:div>
        <w:div w:id="1137723316">
          <w:marLeft w:val="0"/>
          <w:marRight w:val="0"/>
          <w:marTop w:val="0"/>
          <w:marBottom w:val="0"/>
          <w:divBdr>
            <w:top w:val="none" w:sz="0" w:space="0" w:color="auto"/>
            <w:left w:val="none" w:sz="0" w:space="0" w:color="auto"/>
            <w:bottom w:val="none" w:sz="0" w:space="0" w:color="auto"/>
            <w:right w:val="none" w:sz="0" w:space="0" w:color="auto"/>
          </w:divBdr>
        </w:div>
        <w:div w:id="1638804233">
          <w:marLeft w:val="0"/>
          <w:marRight w:val="0"/>
          <w:marTop w:val="0"/>
          <w:marBottom w:val="0"/>
          <w:divBdr>
            <w:top w:val="none" w:sz="0" w:space="0" w:color="auto"/>
            <w:left w:val="none" w:sz="0" w:space="0" w:color="auto"/>
            <w:bottom w:val="none" w:sz="0" w:space="0" w:color="auto"/>
            <w:right w:val="none" w:sz="0" w:space="0" w:color="auto"/>
          </w:divBdr>
        </w:div>
        <w:div w:id="403525965">
          <w:marLeft w:val="0"/>
          <w:marRight w:val="0"/>
          <w:marTop w:val="0"/>
          <w:marBottom w:val="0"/>
          <w:divBdr>
            <w:top w:val="none" w:sz="0" w:space="0" w:color="auto"/>
            <w:left w:val="none" w:sz="0" w:space="0" w:color="auto"/>
            <w:bottom w:val="none" w:sz="0" w:space="0" w:color="auto"/>
            <w:right w:val="none" w:sz="0" w:space="0" w:color="auto"/>
          </w:divBdr>
        </w:div>
        <w:div w:id="327440567">
          <w:marLeft w:val="0"/>
          <w:marRight w:val="0"/>
          <w:marTop w:val="0"/>
          <w:marBottom w:val="0"/>
          <w:divBdr>
            <w:top w:val="none" w:sz="0" w:space="0" w:color="auto"/>
            <w:left w:val="none" w:sz="0" w:space="0" w:color="auto"/>
            <w:bottom w:val="none" w:sz="0" w:space="0" w:color="auto"/>
            <w:right w:val="none" w:sz="0" w:space="0" w:color="auto"/>
          </w:divBdr>
        </w:div>
        <w:div w:id="311179568">
          <w:marLeft w:val="0"/>
          <w:marRight w:val="0"/>
          <w:marTop w:val="0"/>
          <w:marBottom w:val="0"/>
          <w:divBdr>
            <w:top w:val="none" w:sz="0" w:space="0" w:color="auto"/>
            <w:left w:val="none" w:sz="0" w:space="0" w:color="auto"/>
            <w:bottom w:val="none" w:sz="0" w:space="0" w:color="auto"/>
            <w:right w:val="none" w:sz="0" w:space="0" w:color="auto"/>
          </w:divBdr>
        </w:div>
        <w:div w:id="2143691891">
          <w:marLeft w:val="0"/>
          <w:marRight w:val="0"/>
          <w:marTop w:val="0"/>
          <w:marBottom w:val="0"/>
          <w:divBdr>
            <w:top w:val="none" w:sz="0" w:space="0" w:color="auto"/>
            <w:left w:val="none" w:sz="0" w:space="0" w:color="auto"/>
            <w:bottom w:val="none" w:sz="0" w:space="0" w:color="auto"/>
            <w:right w:val="none" w:sz="0" w:space="0" w:color="auto"/>
          </w:divBdr>
        </w:div>
        <w:div w:id="1836799089">
          <w:marLeft w:val="0"/>
          <w:marRight w:val="0"/>
          <w:marTop w:val="0"/>
          <w:marBottom w:val="0"/>
          <w:divBdr>
            <w:top w:val="none" w:sz="0" w:space="0" w:color="auto"/>
            <w:left w:val="none" w:sz="0" w:space="0" w:color="auto"/>
            <w:bottom w:val="none" w:sz="0" w:space="0" w:color="auto"/>
            <w:right w:val="none" w:sz="0" w:space="0" w:color="auto"/>
          </w:divBdr>
        </w:div>
        <w:div w:id="510461230">
          <w:marLeft w:val="0"/>
          <w:marRight w:val="0"/>
          <w:marTop w:val="0"/>
          <w:marBottom w:val="0"/>
          <w:divBdr>
            <w:top w:val="none" w:sz="0" w:space="0" w:color="auto"/>
            <w:left w:val="none" w:sz="0" w:space="0" w:color="auto"/>
            <w:bottom w:val="none" w:sz="0" w:space="0" w:color="auto"/>
            <w:right w:val="none" w:sz="0" w:space="0" w:color="auto"/>
          </w:divBdr>
        </w:div>
        <w:div w:id="926963381">
          <w:marLeft w:val="0"/>
          <w:marRight w:val="0"/>
          <w:marTop w:val="0"/>
          <w:marBottom w:val="0"/>
          <w:divBdr>
            <w:top w:val="none" w:sz="0" w:space="0" w:color="auto"/>
            <w:left w:val="none" w:sz="0" w:space="0" w:color="auto"/>
            <w:bottom w:val="none" w:sz="0" w:space="0" w:color="auto"/>
            <w:right w:val="none" w:sz="0" w:space="0" w:color="auto"/>
          </w:divBdr>
        </w:div>
        <w:div w:id="1849950590">
          <w:marLeft w:val="0"/>
          <w:marRight w:val="0"/>
          <w:marTop w:val="0"/>
          <w:marBottom w:val="0"/>
          <w:divBdr>
            <w:top w:val="none" w:sz="0" w:space="0" w:color="auto"/>
            <w:left w:val="none" w:sz="0" w:space="0" w:color="auto"/>
            <w:bottom w:val="none" w:sz="0" w:space="0" w:color="auto"/>
            <w:right w:val="none" w:sz="0" w:space="0" w:color="auto"/>
          </w:divBdr>
        </w:div>
        <w:div w:id="1333603199">
          <w:marLeft w:val="0"/>
          <w:marRight w:val="0"/>
          <w:marTop w:val="0"/>
          <w:marBottom w:val="0"/>
          <w:divBdr>
            <w:top w:val="none" w:sz="0" w:space="0" w:color="auto"/>
            <w:left w:val="none" w:sz="0" w:space="0" w:color="auto"/>
            <w:bottom w:val="none" w:sz="0" w:space="0" w:color="auto"/>
            <w:right w:val="none" w:sz="0" w:space="0" w:color="auto"/>
          </w:divBdr>
        </w:div>
        <w:div w:id="1152402680">
          <w:marLeft w:val="0"/>
          <w:marRight w:val="0"/>
          <w:marTop w:val="0"/>
          <w:marBottom w:val="0"/>
          <w:divBdr>
            <w:top w:val="none" w:sz="0" w:space="0" w:color="auto"/>
            <w:left w:val="none" w:sz="0" w:space="0" w:color="auto"/>
            <w:bottom w:val="none" w:sz="0" w:space="0" w:color="auto"/>
            <w:right w:val="none" w:sz="0" w:space="0" w:color="auto"/>
          </w:divBdr>
        </w:div>
        <w:div w:id="1782718951">
          <w:marLeft w:val="0"/>
          <w:marRight w:val="0"/>
          <w:marTop w:val="0"/>
          <w:marBottom w:val="0"/>
          <w:divBdr>
            <w:top w:val="none" w:sz="0" w:space="0" w:color="auto"/>
            <w:left w:val="none" w:sz="0" w:space="0" w:color="auto"/>
            <w:bottom w:val="none" w:sz="0" w:space="0" w:color="auto"/>
            <w:right w:val="none" w:sz="0" w:space="0" w:color="auto"/>
          </w:divBdr>
        </w:div>
        <w:div w:id="440146325">
          <w:marLeft w:val="0"/>
          <w:marRight w:val="0"/>
          <w:marTop w:val="0"/>
          <w:marBottom w:val="0"/>
          <w:divBdr>
            <w:top w:val="none" w:sz="0" w:space="0" w:color="auto"/>
            <w:left w:val="none" w:sz="0" w:space="0" w:color="auto"/>
            <w:bottom w:val="none" w:sz="0" w:space="0" w:color="auto"/>
            <w:right w:val="none" w:sz="0" w:space="0" w:color="auto"/>
          </w:divBdr>
        </w:div>
      </w:divsChild>
    </w:div>
    <w:div w:id="2061518263">
      <w:bodyDiv w:val="1"/>
      <w:marLeft w:val="0"/>
      <w:marRight w:val="0"/>
      <w:marTop w:val="0"/>
      <w:marBottom w:val="0"/>
      <w:divBdr>
        <w:top w:val="none" w:sz="0" w:space="0" w:color="auto"/>
        <w:left w:val="none" w:sz="0" w:space="0" w:color="auto"/>
        <w:bottom w:val="none" w:sz="0" w:space="0" w:color="auto"/>
        <w:right w:val="none" w:sz="0" w:space="0" w:color="auto"/>
      </w:divBdr>
      <w:divsChild>
        <w:div w:id="1254632008">
          <w:marLeft w:val="0"/>
          <w:marRight w:val="0"/>
          <w:marTop w:val="0"/>
          <w:marBottom w:val="0"/>
          <w:divBdr>
            <w:top w:val="none" w:sz="0" w:space="0" w:color="auto"/>
            <w:left w:val="none" w:sz="0" w:space="0" w:color="auto"/>
            <w:bottom w:val="none" w:sz="0" w:space="0" w:color="auto"/>
            <w:right w:val="none" w:sz="0" w:space="0" w:color="auto"/>
          </w:divBdr>
        </w:div>
        <w:div w:id="655768365">
          <w:marLeft w:val="0"/>
          <w:marRight w:val="0"/>
          <w:marTop w:val="0"/>
          <w:marBottom w:val="0"/>
          <w:divBdr>
            <w:top w:val="none" w:sz="0" w:space="0" w:color="auto"/>
            <w:left w:val="none" w:sz="0" w:space="0" w:color="auto"/>
            <w:bottom w:val="none" w:sz="0" w:space="0" w:color="auto"/>
            <w:right w:val="none" w:sz="0" w:space="0" w:color="auto"/>
          </w:divBdr>
        </w:div>
        <w:div w:id="1226260847">
          <w:marLeft w:val="0"/>
          <w:marRight w:val="0"/>
          <w:marTop w:val="0"/>
          <w:marBottom w:val="0"/>
          <w:divBdr>
            <w:top w:val="none" w:sz="0" w:space="0" w:color="auto"/>
            <w:left w:val="none" w:sz="0" w:space="0" w:color="auto"/>
            <w:bottom w:val="none" w:sz="0" w:space="0" w:color="auto"/>
            <w:right w:val="none" w:sz="0" w:space="0" w:color="auto"/>
          </w:divBdr>
        </w:div>
        <w:div w:id="1835298483">
          <w:marLeft w:val="0"/>
          <w:marRight w:val="0"/>
          <w:marTop w:val="0"/>
          <w:marBottom w:val="0"/>
          <w:divBdr>
            <w:top w:val="none" w:sz="0" w:space="0" w:color="auto"/>
            <w:left w:val="none" w:sz="0" w:space="0" w:color="auto"/>
            <w:bottom w:val="none" w:sz="0" w:space="0" w:color="auto"/>
            <w:right w:val="none" w:sz="0" w:space="0" w:color="auto"/>
          </w:divBdr>
        </w:div>
        <w:div w:id="1623534361">
          <w:marLeft w:val="0"/>
          <w:marRight w:val="0"/>
          <w:marTop w:val="0"/>
          <w:marBottom w:val="0"/>
          <w:divBdr>
            <w:top w:val="none" w:sz="0" w:space="0" w:color="auto"/>
            <w:left w:val="none" w:sz="0" w:space="0" w:color="auto"/>
            <w:bottom w:val="none" w:sz="0" w:space="0" w:color="auto"/>
            <w:right w:val="none" w:sz="0" w:space="0" w:color="auto"/>
          </w:divBdr>
        </w:div>
        <w:div w:id="1787656829">
          <w:marLeft w:val="0"/>
          <w:marRight w:val="0"/>
          <w:marTop w:val="0"/>
          <w:marBottom w:val="0"/>
          <w:divBdr>
            <w:top w:val="none" w:sz="0" w:space="0" w:color="auto"/>
            <w:left w:val="none" w:sz="0" w:space="0" w:color="auto"/>
            <w:bottom w:val="none" w:sz="0" w:space="0" w:color="auto"/>
            <w:right w:val="none" w:sz="0" w:space="0" w:color="auto"/>
          </w:divBdr>
        </w:div>
        <w:div w:id="787705659">
          <w:marLeft w:val="0"/>
          <w:marRight w:val="0"/>
          <w:marTop w:val="0"/>
          <w:marBottom w:val="0"/>
          <w:divBdr>
            <w:top w:val="none" w:sz="0" w:space="0" w:color="auto"/>
            <w:left w:val="none" w:sz="0" w:space="0" w:color="auto"/>
            <w:bottom w:val="none" w:sz="0" w:space="0" w:color="auto"/>
            <w:right w:val="none" w:sz="0" w:space="0" w:color="auto"/>
          </w:divBdr>
        </w:div>
        <w:div w:id="1342389847">
          <w:marLeft w:val="0"/>
          <w:marRight w:val="0"/>
          <w:marTop w:val="0"/>
          <w:marBottom w:val="0"/>
          <w:divBdr>
            <w:top w:val="none" w:sz="0" w:space="0" w:color="auto"/>
            <w:left w:val="none" w:sz="0" w:space="0" w:color="auto"/>
            <w:bottom w:val="none" w:sz="0" w:space="0" w:color="auto"/>
            <w:right w:val="none" w:sz="0" w:space="0" w:color="auto"/>
          </w:divBdr>
        </w:div>
        <w:div w:id="864826187">
          <w:marLeft w:val="0"/>
          <w:marRight w:val="0"/>
          <w:marTop w:val="0"/>
          <w:marBottom w:val="0"/>
          <w:divBdr>
            <w:top w:val="none" w:sz="0" w:space="0" w:color="auto"/>
            <w:left w:val="none" w:sz="0" w:space="0" w:color="auto"/>
            <w:bottom w:val="none" w:sz="0" w:space="0" w:color="auto"/>
            <w:right w:val="none" w:sz="0" w:space="0" w:color="auto"/>
          </w:divBdr>
        </w:div>
        <w:div w:id="1351370110">
          <w:marLeft w:val="0"/>
          <w:marRight w:val="0"/>
          <w:marTop w:val="0"/>
          <w:marBottom w:val="0"/>
          <w:divBdr>
            <w:top w:val="none" w:sz="0" w:space="0" w:color="auto"/>
            <w:left w:val="none" w:sz="0" w:space="0" w:color="auto"/>
            <w:bottom w:val="none" w:sz="0" w:space="0" w:color="auto"/>
            <w:right w:val="none" w:sz="0" w:space="0" w:color="auto"/>
          </w:divBdr>
        </w:div>
        <w:div w:id="22948612">
          <w:marLeft w:val="0"/>
          <w:marRight w:val="0"/>
          <w:marTop w:val="0"/>
          <w:marBottom w:val="0"/>
          <w:divBdr>
            <w:top w:val="none" w:sz="0" w:space="0" w:color="auto"/>
            <w:left w:val="none" w:sz="0" w:space="0" w:color="auto"/>
            <w:bottom w:val="none" w:sz="0" w:space="0" w:color="auto"/>
            <w:right w:val="none" w:sz="0" w:space="0" w:color="auto"/>
          </w:divBdr>
        </w:div>
        <w:div w:id="1008677522">
          <w:marLeft w:val="0"/>
          <w:marRight w:val="0"/>
          <w:marTop w:val="0"/>
          <w:marBottom w:val="0"/>
          <w:divBdr>
            <w:top w:val="none" w:sz="0" w:space="0" w:color="auto"/>
            <w:left w:val="none" w:sz="0" w:space="0" w:color="auto"/>
            <w:bottom w:val="none" w:sz="0" w:space="0" w:color="auto"/>
            <w:right w:val="none" w:sz="0" w:space="0" w:color="auto"/>
          </w:divBdr>
        </w:div>
        <w:div w:id="876814831">
          <w:marLeft w:val="0"/>
          <w:marRight w:val="0"/>
          <w:marTop w:val="0"/>
          <w:marBottom w:val="0"/>
          <w:divBdr>
            <w:top w:val="none" w:sz="0" w:space="0" w:color="auto"/>
            <w:left w:val="none" w:sz="0" w:space="0" w:color="auto"/>
            <w:bottom w:val="none" w:sz="0" w:space="0" w:color="auto"/>
            <w:right w:val="none" w:sz="0" w:space="0" w:color="auto"/>
          </w:divBdr>
        </w:div>
        <w:div w:id="1420100346">
          <w:marLeft w:val="0"/>
          <w:marRight w:val="0"/>
          <w:marTop w:val="0"/>
          <w:marBottom w:val="0"/>
          <w:divBdr>
            <w:top w:val="none" w:sz="0" w:space="0" w:color="auto"/>
            <w:left w:val="none" w:sz="0" w:space="0" w:color="auto"/>
            <w:bottom w:val="none" w:sz="0" w:space="0" w:color="auto"/>
            <w:right w:val="none" w:sz="0" w:space="0" w:color="auto"/>
          </w:divBdr>
        </w:div>
        <w:div w:id="808742231">
          <w:marLeft w:val="0"/>
          <w:marRight w:val="0"/>
          <w:marTop w:val="0"/>
          <w:marBottom w:val="0"/>
          <w:divBdr>
            <w:top w:val="none" w:sz="0" w:space="0" w:color="auto"/>
            <w:left w:val="none" w:sz="0" w:space="0" w:color="auto"/>
            <w:bottom w:val="none" w:sz="0" w:space="0" w:color="auto"/>
            <w:right w:val="none" w:sz="0" w:space="0" w:color="auto"/>
          </w:divBdr>
        </w:div>
        <w:div w:id="1137337864">
          <w:marLeft w:val="0"/>
          <w:marRight w:val="0"/>
          <w:marTop w:val="0"/>
          <w:marBottom w:val="0"/>
          <w:divBdr>
            <w:top w:val="none" w:sz="0" w:space="0" w:color="auto"/>
            <w:left w:val="none" w:sz="0" w:space="0" w:color="auto"/>
            <w:bottom w:val="none" w:sz="0" w:space="0" w:color="auto"/>
            <w:right w:val="none" w:sz="0" w:space="0" w:color="auto"/>
          </w:divBdr>
        </w:div>
        <w:div w:id="1834879666">
          <w:marLeft w:val="0"/>
          <w:marRight w:val="0"/>
          <w:marTop w:val="0"/>
          <w:marBottom w:val="0"/>
          <w:divBdr>
            <w:top w:val="none" w:sz="0" w:space="0" w:color="auto"/>
            <w:left w:val="none" w:sz="0" w:space="0" w:color="auto"/>
            <w:bottom w:val="none" w:sz="0" w:space="0" w:color="auto"/>
            <w:right w:val="none" w:sz="0" w:space="0" w:color="auto"/>
          </w:divBdr>
        </w:div>
        <w:div w:id="1660958889">
          <w:marLeft w:val="0"/>
          <w:marRight w:val="0"/>
          <w:marTop w:val="0"/>
          <w:marBottom w:val="0"/>
          <w:divBdr>
            <w:top w:val="none" w:sz="0" w:space="0" w:color="auto"/>
            <w:left w:val="none" w:sz="0" w:space="0" w:color="auto"/>
            <w:bottom w:val="none" w:sz="0" w:space="0" w:color="auto"/>
            <w:right w:val="none" w:sz="0" w:space="0" w:color="auto"/>
          </w:divBdr>
        </w:div>
        <w:div w:id="1414625090">
          <w:marLeft w:val="0"/>
          <w:marRight w:val="0"/>
          <w:marTop w:val="0"/>
          <w:marBottom w:val="0"/>
          <w:divBdr>
            <w:top w:val="none" w:sz="0" w:space="0" w:color="auto"/>
            <w:left w:val="none" w:sz="0" w:space="0" w:color="auto"/>
            <w:bottom w:val="none" w:sz="0" w:space="0" w:color="auto"/>
            <w:right w:val="none" w:sz="0" w:space="0" w:color="auto"/>
          </w:divBdr>
        </w:div>
        <w:div w:id="1281645116">
          <w:marLeft w:val="0"/>
          <w:marRight w:val="0"/>
          <w:marTop w:val="0"/>
          <w:marBottom w:val="0"/>
          <w:divBdr>
            <w:top w:val="none" w:sz="0" w:space="0" w:color="auto"/>
            <w:left w:val="none" w:sz="0" w:space="0" w:color="auto"/>
            <w:bottom w:val="none" w:sz="0" w:space="0" w:color="auto"/>
            <w:right w:val="none" w:sz="0" w:space="0" w:color="auto"/>
          </w:divBdr>
        </w:div>
        <w:div w:id="1230649288">
          <w:marLeft w:val="0"/>
          <w:marRight w:val="0"/>
          <w:marTop w:val="0"/>
          <w:marBottom w:val="0"/>
          <w:divBdr>
            <w:top w:val="none" w:sz="0" w:space="0" w:color="auto"/>
            <w:left w:val="none" w:sz="0" w:space="0" w:color="auto"/>
            <w:bottom w:val="none" w:sz="0" w:space="0" w:color="auto"/>
            <w:right w:val="none" w:sz="0" w:space="0" w:color="auto"/>
          </w:divBdr>
        </w:div>
        <w:div w:id="2122383820">
          <w:marLeft w:val="0"/>
          <w:marRight w:val="0"/>
          <w:marTop w:val="0"/>
          <w:marBottom w:val="0"/>
          <w:divBdr>
            <w:top w:val="none" w:sz="0" w:space="0" w:color="auto"/>
            <w:left w:val="none" w:sz="0" w:space="0" w:color="auto"/>
            <w:bottom w:val="none" w:sz="0" w:space="0" w:color="auto"/>
            <w:right w:val="none" w:sz="0" w:space="0" w:color="auto"/>
          </w:divBdr>
        </w:div>
        <w:div w:id="1997683189">
          <w:marLeft w:val="0"/>
          <w:marRight w:val="0"/>
          <w:marTop w:val="0"/>
          <w:marBottom w:val="0"/>
          <w:divBdr>
            <w:top w:val="none" w:sz="0" w:space="0" w:color="auto"/>
            <w:left w:val="none" w:sz="0" w:space="0" w:color="auto"/>
            <w:bottom w:val="none" w:sz="0" w:space="0" w:color="auto"/>
            <w:right w:val="none" w:sz="0" w:space="0" w:color="auto"/>
          </w:divBdr>
        </w:div>
        <w:div w:id="9534392">
          <w:marLeft w:val="0"/>
          <w:marRight w:val="0"/>
          <w:marTop w:val="0"/>
          <w:marBottom w:val="0"/>
          <w:divBdr>
            <w:top w:val="none" w:sz="0" w:space="0" w:color="auto"/>
            <w:left w:val="none" w:sz="0" w:space="0" w:color="auto"/>
            <w:bottom w:val="none" w:sz="0" w:space="0" w:color="auto"/>
            <w:right w:val="none" w:sz="0" w:space="0" w:color="auto"/>
          </w:divBdr>
        </w:div>
      </w:divsChild>
    </w:div>
    <w:div w:id="2062513685">
      <w:bodyDiv w:val="1"/>
      <w:marLeft w:val="0"/>
      <w:marRight w:val="0"/>
      <w:marTop w:val="0"/>
      <w:marBottom w:val="0"/>
      <w:divBdr>
        <w:top w:val="none" w:sz="0" w:space="0" w:color="auto"/>
        <w:left w:val="none" w:sz="0" w:space="0" w:color="auto"/>
        <w:bottom w:val="none" w:sz="0" w:space="0" w:color="auto"/>
        <w:right w:val="none" w:sz="0" w:space="0" w:color="auto"/>
      </w:divBdr>
    </w:div>
    <w:div w:id="2078280794">
      <w:bodyDiv w:val="1"/>
      <w:marLeft w:val="0"/>
      <w:marRight w:val="0"/>
      <w:marTop w:val="0"/>
      <w:marBottom w:val="0"/>
      <w:divBdr>
        <w:top w:val="none" w:sz="0" w:space="0" w:color="auto"/>
        <w:left w:val="none" w:sz="0" w:space="0" w:color="auto"/>
        <w:bottom w:val="none" w:sz="0" w:space="0" w:color="auto"/>
        <w:right w:val="none" w:sz="0" w:space="0" w:color="auto"/>
      </w:divBdr>
    </w:div>
    <w:div w:id="21289664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rossinp\Application%20Data\Microsoft\Templates\normal2.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B42AF9E4-BDA5-5D48-942C-2F3A08DC8C16}"/>
      </w:docPartPr>
      <w:docPartBody>
        <w:p w:rsidR="00ED6976" w:rsidRDefault="00555B1B">
          <w:r w:rsidRPr="00ED6976">
            <w:rPr>
              <w:rStyle w:val="PlaceholderText"/>
            </w:rPr>
            <w:t>Click or tap here to enter text.</w:t>
          </w:r>
        </w:p>
      </w:docPartBody>
    </w:docPart>
    <w:docPart>
      <w:docPartPr>
        <w:name w:val="0C472A0B07439D4F9BA2B17AA894DEC3"/>
        <w:category>
          <w:name w:val="General"/>
          <w:gallery w:val="placeholder"/>
        </w:category>
        <w:types>
          <w:type w:val="bbPlcHdr"/>
        </w:types>
        <w:behaviors>
          <w:behavior w:val="content"/>
        </w:behaviors>
        <w:guid w:val="{A6835F7A-A8B2-4D41-BA8C-3A186D00929B}"/>
      </w:docPartPr>
      <w:docPartBody>
        <w:p w:rsidR="00ED6976" w:rsidRDefault="00555B1B" w:rsidP="00555B1B">
          <w:pPr>
            <w:pStyle w:val="0C472A0B07439D4F9BA2B17AA894DEC3"/>
          </w:pPr>
          <w:r w:rsidRPr="00916BAA">
            <w:rPr>
              <w:rStyle w:val="PlaceholderText"/>
            </w:rPr>
            <w:t>Click or tap here to enter text.</w:t>
          </w:r>
        </w:p>
      </w:docPartBody>
    </w:docPart>
    <w:docPart>
      <w:docPartPr>
        <w:name w:val="5A17AB3EA23FA7458E28E61693BA09E7"/>
        <w:category>
          <w:name w:val="General"/>
          <w:gallery w:val="placeholder"/>
        </w:category>
        <w:types>
          <w:type w:val="bbPlcHdr"/>
        </w:types>
        <w:behaviors>
          <w:behavior w:val="content"/>
        </w:behaviors>
        <w:guid w:val="{E69A4C73-9C85-544F-B968-4B1068CEC74F}"/>
      </w:docPartPr>
      <w:docPartBody>
        <w:p w:rsidR="00ED6976" w:rsidRDefault="00555B1B" w:rsidP="00555B1B">
          <w:pPr>
            <w:pStyle w:val="5A17AB3EA23FA7458E28E61693BA09E7"/>
          </w:pPr>
          <w:r w:rsidRPr="00ED6976">
            <w:rPr>
              <w:rStyle w:val="PlaceholderText"/>
            </w:rPr>
            <w:t>Click or tap here to enter text.</w:t>
          </w:r>
        </w:p>
      </w:docPartBody>
    </w:docPart>
    <w:docPart>
      <w:docPartPr>
        <w:name w:val="20880D32FE57E14182FEE8F59B853C04"/>
        <w:category>
          <w:name w:val="General"/>
          <w:gallery w:val="placeholder"/>
        </w:category>
        <w:types>
          <w:type w:val="bbPlcHdr"/>
        </w:types>
        <w:behaviors>
          <w:behavior w:val="content"/>
        </w:behaviors>
        <w:guid w:val="{1EBF3A9A-4A79-E84A-9F6C-89E93F1CE286}"/>
      </w:docPartPr>
      <w:docPartBody>
        <w:p w:rsidR="00ED6976" w:rsidRDefault="00555B1B" w:rsidP="00555B1B">
          <w:pPr>
            <w:pStyle w:val="20880D32FE57E14182FEE8F59B853C04"/>
          </w:pPr>
          <w:r w:rsidRPr="00916BAA">
            <w:rPr>
              <w:rStyle w:val="PlaceholderText"/>
            </w:rPr>
            <w:t>Click or tap here to enter text.</w:t>
          </w:r>
        </w:p>
      </w:docPartBody>
    </w:docPart>
    <w:docPart>
      <w:docPartPr>
        <w:name w:val="DC339C08FCE4994D8767F865211C88A3"/>
        <w:category>
          <w:name w:val="General"/>
          <w:gallery w:val="placeholder"/>
        </w:category>
        <w:types>
          <w:type w:val="bbPlcHdr"/>
        </w:types>
        <w:behaviors>
          <w:behavior w:val="content"/>
        </w:behaviors>
        <w:guid w:val="{22C5D13A-C5EE-A342-98A3-A654E72EE981}"/>
      </w:docPartPr>
      <w:docPartBody>
        <w:p w:rsidR="00ED6976" w:rsidRDefault="00555B1B" w:rsidP="00555B1B">
          <w:pPr>
            <w:pStyle w:val="DC339C08FCE4994D8767F865211C88A3"/>
          </w:pPr>
          <w:r w:rsidRPr="00ED6976">
            <w:rPr>
              <w:rStyle w:val="PlaceholderText"/>
            </w:rPr>
            <w:t>Click or tap here to enter text.</w:t>
          </w:r>
        </w:p>
      </w:docPartBody>
    </w:docPart>
    <w:docPart>
      <w:docPartPr>
        <w:name w:val="CEF03497064CD3459EA72384311455D6"/>
        <w:category>
          <w:name w:val="General"/>
          <w:gallery w:val="placeholder"/>
        </w:category>
        <w:types>
          <w:type w:val="bbPlcHdr"/>
        </w:types>
        <w:behaviors>
          <w:behavior w:val="content"/>
        </w:behaviors>
        <w:guid w:val="{7070D1AA-872F-4E41-B438-42F0E60350DA}"/>
      </w:docPartPr>
      <w:docPartBody>
        <w:p w:rsidR="00ED6976" w:rsidRDefault="00555B1B" w:rsidP="00555B1B">
          <w:pPr>
            <w:pStyle w:val="CEF03497064CD3459EA72384311455D6"/>
          </w:pPr>
          <w:r w:rsidRPr="00ED6976">
            <w:rPr>
              <w:rStyle w:val="PlaceholderText"/>
            </w:rPr>
            <w:t>Click or tap here to enter text.</w:t>
          </w:r>
        </w:p>
      </w:docPartBody>
    </w:docPart>
    <w:docPart>
      <w:docPartPr>
        <w:name w:val="D8B2C203FB81744B92C6E26F6525105F"/>
        <w:category>
          <w:name w:val="General"/>
          <w:gallery w:val="placeholder"/>
        </w:category>
        <w:types>
          <w:type w:val="bbPlcHdr"/>
        </w:types>
        <w:behaviors>
          <w:behavior w:val="content"/>
        </w:behaviors>
        <w:guid w:val="{599172DF-8A99-EE45-951B-F854AE339FB0}"/>
      </w:docPartPr>
      <w:docPartBody>
        <w:p w:rsidR="00ED6976" w:rsidRDefault="00555B1B" w:rsidP="00555B1B">
          <w:pPr>
            <w:pStyle w:val="D8B2C203FB81744B92C6E26F6525105F"/>
          </w:pPr>
          <w:r w:rsidRPr="00ED6976">
            <w:rPr>
              <w:rStyle w:val="PlaceholderText"/>
            </w:rPr>
            <w:t>Click or tap here to enter text.</w:t>
          </w:r>
        </w:p>
      </w:docPartBody>
    </w:docPart>
    <w:docPart>
      <w:docPartPr>
        <w:name w:val="52D24D6A2834994AA4EF240A8FEC500D"/>
        <w:category>
          <w:name w:val="General"/>
          <w:gallery w:val="placeholder"/>
        </w:category>
        <w:types>
          <w:type w:val="bbPlcHdr"/>
        </w:types>
        <w:behaviors>
          <w:behavior w:val="content"/>
        </w:behaviors>
        <w:guid w:val="{D9FDF276-D322-DD42-AC10-0E603A4EF7E2}"/>
      </w:docPartPr>
      <w:docPartBody>
        <w:p w:rsidR="00ED6976" w:rsidRDefault="00555B1B" w:rsidP="00555B1B">
          <w:pPr>
            <w:pStyle w:val="52D24D6A2834994AA4EF240A8FEC500D"/>
          </w:pPr>
          <w:r w:rsidRPr="00ED6976">
            <w:rPr>
              <w:rStyle w:val="PlaceholderText"/>
            </w:rPr>
            <w:t>Click or tap here to enter text.</w:t>
          </w:r>
        </w:p>
      </w:docPartBody>
    </w:docPart>
    <w:docPart>
      <w:docPartPr>
        <w:name w:val="D51F94C2FDB1BF4296EBC4CD1293F8A0"/>
        <w:category>
          <w:name w:val="General"/>
          <w:gallery w:val="placeholder"/>
        </w:category>
        <w:types>
          <w:type w:val="bbPlcHdr"/>
        </w:types>
        <w:behaviors>
          <w:behavior w:val="content"/>
        </w:behaviors>
        <w:guid w:val="{D528B862-10BF-8F41-8F19-84A6F065B2F3}"/>
      </w:docPartPr>
      <w:docPartBody>
        <w:p w:rsidR="00ED6976" w:rsidRDefault="00555B1B" w:rsidP="00555B1B">
          <w:pPr>
            <w:pStyle w:val="D51F94C2FDB1BF4296EBC4CD1293F8A0"/>
          </w:pPr>
          <w:r w:rsidRPr="00ED6976">
            <w:rPr>
              <w:rStyle w:val="PlaceholderText"/>
            </w:rPr>
            <w:t>Click or tap here to enter text.</w:t>
          </w:r>
        </w:p>
      </w:docPartBody>
    </w:docPart>
    <w:docPart>
      <w:docPartPr>
        <w:name w:val="719CD1A5BFBD9F4FB9234B8E42D1CF36"/>
        <w:category>
          <w:name w:val="General"/>
          <w:gallery w:val="placeholder"/>
        </w:category>
        <w:types>
          <w:type w:val="bbPlcHdr"/>
        </w:types>
        <w:behaviors>
          <w:behavior w:val="content"/>
        </w:behaviors>
        <w:guid w:val="{4F4F6EA2-536E-DF4A-8182-86BE7749E28B}"/>
      </w:docPartPr>
      <w:docPartBody>
        <w:p w:rsidR="00ED6976" w:rsidRDefault="00555B1B" w:rsidP="00555B1B">
          <w:pPr>
            <w:pStyle w:val="719CD1A5BFBD9F4FB9234B8E42D1CF36"/>
          </w:pPr>
          <w:r w:rsidRPr="00ED6976">
            <w:rPr>
              <w:rStyle w:val="PlaceholderText"/>
            </w:rPr>
            <w:t>Click or tap here to enter text.</w:t>
          </w:r>
        </w:p>
      </w:docPartBody>
    </w:docPart>
    <w:docPart>
      <w:docPartPr>
        <w:name w:val="61F2196E8D5BA347B0DDF11F600307B2"/>
        <w:category>
          <w:name w:val="General"/>
          <w:gallery w:val="placeholder"/>
        </w:category>
        <w:types>
          <w:type w:val="bbPlcHdr"/>
        </w:types>
        <w:behaviors>
          <w:behavior w:val="content"/>
        </w:behaviors>
        <w:guid w:val="{ACB16EFC-A77F-EA44-B1FE-38C71DC19D25}"/>
      </w:docPartPr>
      <w:docPartBody>
        <w:p w:rsidR="00ED6976" w:rsidRDefault="00555B1B" w:rsidP="00555B1B">
          <w:pPr>
            <w:pStyle w:val="61F2196E8D5BA347B0DDF11F600307B2"/>
          </w:pPr>
          <w:r w:rsidRPr="00ED6976">
            <w:rPr>
              <w:rStyle w:val="PlaceholderText"/>
            </w:rPr>
            <w:t>Click or tap here to enter text.</w:t>
          </w:r>
        </w:p>
      </w:docPartBody>
    </w:docPart>
    <w:docPart>
      <w:docPartPr>
        <w:name w:val="A23FF5427F203B4FAB56C6D078EFD05F"/>
        <w:category>
          <w:name w:val="General"/>
          <w:gallery w:val="placeholder"/>
        </w:category>
        <w:types>
          <w:type w:val="bbPlcHdr"/>
        </w:types>
        <w:behaviors>
          <w:behavior w:val="content"/>
        </w:behaviors>
        <w:guid w:val="{441E649B-38AE-BB43-A9F6-F9D343FAF2A5}"/>
      </w:docPartPr>
      <w:docPartBody>
        <w:p w:rsidR="00ED6976" w:rsidRDefault="00555B1B" w:rsidP="00555B1B">
          <w:pPr>
            <w:pStyle w:val="A23FF5427F203B4FAB56C6D078EFD05F"/>
          </w:pPr>
          <w:r w:rsidRPr="00916BAA">
            <w:rPr>
              <w:rStyle w:val="PlaceholderText"/>
            </w:rPr>
            <w:t>Click or tap here to enter text.</w:t>
          </w:r>
        </w:p>
      </w:docPartBody>
    </w:docPart>
    <w:docPart>
      <w:docPartPr>
        <w:name w:val="3F077EC611985E4F8B64FC6D1164C47F"/>
        <w:category>
          <w:name w:val="General"/>
          <w:gallery w:val="placeholder"/>
        </w:category>
        <w:types>
          <w:type w:val="bbPlcHdr"/>
        </w:types>
        <w:behaviors>
          <w:behavior w:val="content"/>
        </w:behaviors>
        <w:guid w:val="{29736B2C-CD60-0040-A53E-A13CDAE7DBCF}"/>
      </w:docPartPr>
      <w:docPartBody>
        <w:p w:rsidR="00ED6976" w:rsidRDefault="00555B1B" w:rsidP="00555B1B">
          <w:pPr>
            <w:pStyle w:val="3F077EC611985E4F8B64FC6D1164C47F"/>
          </w:pPr>
          <w:r w:rsidRPr="00ED6976">
            <w:rPr>
              <w:rStyle w:val="PlaceholderText"/>
            </w:rPr>
            <w:t>Click or tap here to enter text.</w:t>
          </w:r>
        </w:p>
      </w:docPartBody>
    </w:docPart>
    <w:docPart>
      <w:docPartPr>
        <w:name w:val="00400DBA17EDA04F9706B33E0E61F23B"/>
        <w:category>
          <w:name w:val="General"/>
          <w:gallery w:val="placeholder"/>
        </w:category>
        <w:types>
          <w:type w:val="bbPlcHdr"/>
        </w:types>
        <w:behaviors>
          <w:behavior w:val="content"/>
        </w:behaviors>
        <w:guid w:val="{BE910CB6-0E90-1D4E-9FDD-E0985C04A9CD}"/>
      </w:docPartPr>
      <w:docPartBody>
        <w:p w:rsidR="00ED6976" w:rsidRDefault="00555B1B" w:rsidP="00555B1B">
          <w:pPr>
            <w:pStyle w:val="00400DBA17EDA04F9706B33E0E61F23B"/>
          </w:pPr>
          <w:r w:rsidRPr="00916BAA">
            <w:rPr>
              <w:rStyle w:val="PlaceholderText"/>
            </w:rPr>
            <w:t>Click or tap here to enter text.</w:t>
          </w:r>
        </w:p>
      </w:docPartBody>
    </w:docPart>
    <w:docPart>
      <w:docPartPr>
        <w:name w:val="12E9BD31AF391A4EB0A188EA73E4C65E"/>
        <w:category>
          <w:name w:val="General"/>
          <w:gallery w:val="placeholder"/>
        </w:category>
        <w:types>
          <w:type w:val="bbPlcHdr"/>
        </w:types>
        <w:behaviors>
          <w:behavior w:val="content"/>
        </w:behaviors>
        <w:guid w:val="{878541BF-DD9B-C049-B019-3F8DD6B41212}"/>
      </w:docPartPr>
      <w:docPartBody>
        <w:p w:rsidR="00ED6976" w:rsidRDefault="00555B1B" w:rsidP="00555B1B">
          <w:pPr>
            <w:pStyle w:val="12E9BD31AF391A4EB0A188EA73E4C65E"/>
          </w:pPr>
          <w:r w:rsidRPr="00ED6976">
            <w:rPr>
              <w:rStyle w:val="PlaceholderText"/>
            </w:rPr>
            <w:t>Click or tap here to enter text.</w:t>
          </w:r>
        </w:p>
      </w:docPartBody>
    </w:docPart>
    <w:docPart>
      <w:docPartPr>
        <w:name w:val="78494D5735547C40936C40698FE676D8"/>
        <w:category>
          <w:name w:val="General"/>
          <w:gallery w:val="placeholder"/>
        </w:category>
        <w:types>
          <w:type w:val="bbPlcHdr"/>
        </w:types>
        <w:behaviors>
          <w:behavior w:val="content"/>
        </w:behaviors>
        <w:guid w:val="{74280EBD-D8D8-064A-BF8F-195D436EA4EA}"/>
      </w:docPartPr>
      <w:docPartBody>
        <w:p w:rsidR="00ED6976" w:rsidRDefault="00555B1B" w:rsidP="00555B1B">
          <w:pPr>
            <w:pStyle w:val="78494D5735547C40936C40698FE676D8"/>
          </w:pPr>
          <w:r w:rsidRPr="00ED6976">
            <w:rPr>
              <w:rStyle w:val="PlaceholderText"/>
            </w:rPr>
            <w:t>Click or tap here to enter text.</w:t>
          </w:r>
        </w:p>
      </w:docPartBody>
    </w:docPart>
    <w:docPart>
      <w:docPartPr>
        <w:name w:val="3679F8974414F547B44AE4AD9AEBE956"/>
        <w:category>
          <w:name w:val="General"/>
          <w:gallery w:val="placeholder"/>
        </w:category>
        <w:types>
          <w:type w:val="bbPlcHdr"/>
        </w:types>
        <w:behaviors>
          <w:behavior w:val="content"/>
        </w:behaviors>
        <w:guid w:val="{55C68E8C-4A75-0F49-80E2-24AF376091FA}"/>
      </w:docPartPr>
      <w:docPartBody>
        <w:p w:rsidR="00ED6976" w:rsidRDefault="00555B1B" w:rsidP="00555B1B">
          <w:pPr>
            <w:pStyle w:val="3679F8974414F547B44AE4AD9AEBE956"/>
          </w:pPr>
          <w:r w:rsidRPr="00916BAA">
            <w:rPr>
              <w:rStyle w:val="PlaceholderText"/>
            </w:rPr>
            <w:t>Click or tap here to enter text.</w:t>
          </w:r>
        </w:p>
      </w:docPartBody>
    </w:docPart>
    <w:docPart>
      <w:docPartPr>
        <w:name w:val="48C57A7B9EED6949A0D10CFEFCB1E0A3"/>
        <w:category>
          <w:name w:val="General"/>
          <w:gallery w:val="placeholder"/>
        </w:category>
        <w:types>
          <w:type w:val="bbPlcHdr"/>
        </w:types>
        <w:behaviors>
          <w:behavior w:val="content"/>
        </w:behaviors>
        <w:guid w:val="{23117414-ADC9-CE4E-A1BA-8F6FCD8C0726}"/>
      </w:docPartPr>
      <w:docPartBody>
        <w:p w:rsidR="00ED6976" w:rsidRDefault="00555B1B" w:rsidP="00555B1B">
          <w:pPr>
            <w:pStyle w:val="48C57A7B9EED6949A0D10CFEFCB1E0A3"/>
          </w:pPr>
          <w:r w:rsidRPr="00ED6976">
            <w:rPr>
              <w:rStyle w:val="PlaceholderText"/>
            </w:rPr>
            <w:t>Click or tap here to enter text.</w:t>
          </w:r>
        </w:p>
      </w:docPartBody>
    </w:docPart>
    <w:docPart>
      <w:docPartPr>
        <w:name w:val="2226779B5AE392448FA7D8F6047A6611"/>
        <w:category>
          <w:name w:val="General"/>
          <w:gallery w:val="placeholder"/>
        </w:category>
        <w:types>
          <w:type w:val="bbPlcHdr"/>
        </w:types>
        <w:behaviors>
          <w:behavior w:val="content"/>
        </w:behaviors>
        <w:guid w:val="{3297262D-320C-4D41-85D2-54FF121FB74F}"/>
      </w:docPartPr>
      <w:docPartBody>
        <w:p w:rsidR="00ED6976" w:rsidRDefault="00555B1B" w:rsidP="00555B1B">
          <w:pPr>
            <w:pStyle w:val="2226779B5AE392448FA7D8F6047A6611"/>
          </w:pPr>
          <w:r w:rsidRPr="00ED6976">
            <w:rPr>
              <w:rStyle w:val="PlaceholderText"/>
            </w:rPr>
            <w:t>Click or tap here to enter text.</w:t>
          </w:r>
        </w:p>
      </w:docPartBody>
    </w:docPart>
    <w:docPart>
      <w:docPartPr>
        <w:name w:val="B2A2A1138F8BCC47BD07BAE251CAF7D8"/>
        <w:category>
          <w:name w:val="General"/>
          <w:gallery w:val="placeholder"/>
        </w:category>
        <w:types>
          <w:type w:val="bbPlcHdr"/>
        </w:types>
        <w:behaviors>
          <w:behavior w:val="content"/>
        </w:behaviors>
        <w:guid w:val="{6A85AD67-0E27-8A4D-89E3-750CF7A46FAC}"/>
      </w:docPartPr>
      <w:docPartBody>
        <w:p w:rsidR="00E57B72" w:rsidRDefault="00E57B72" w:rsidP="00E57B72">
          <w:pPr>
            <w:pStyle w:val="B2A2A1138F8BCC47BD07BAE251CAF7D8"/>
          </w:pPr>
          <w:r w:rsidRPr="00ED697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B1B"/>
    <w:rsid w:val="00186CC7"/>
    <w:rsid w:val="00555B1B"/>
    <w:rsid w:val="007901F7"/>
    <w:rsid w:val="009D2AE1"/>
    <w:rsid w:val="00E57B72"/>
    <w:rsid w:val="00ED69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67"/>
    <w:semiHidden/>
    <w:rsid w:val="00E57B72"/>
    <w:rPr>
      <w:color w:val="808080"/>
    </w:rPr>
  </w:style>
  <w:style w:type="paragraph" w:customStyle="1" w:styleId="0C472A0B07439D4F9BA2B17AA894DEC3">
    <w:name w:val="0C472A0B07439D4F9BA2B17AA894DEC3"/>
    <w:rsid w:val="00555B1B"/>
  </w:style>
  <w:style w:type="paragraph" w:customStyle="1" w:styleId="5A17AB3EA23FA7458E28E61693BA09E7">
    <w:name w:val="5A17AB3EA23FA7458E28E61693BA09E7"/>
    <w:rsid w:val="00555B1B"/>
  </w:style>
  <w:style w:type="paragraph" w:customStyle="1" w:styleId="20880D32FE57E14182FEE8F59B853C04">
    <w:name w:val="20880D32FE57E14182FEE8F59B853C04"/>
    <w:rsid w:val="00555B1B"/>
  </w:style>
  <w:style w:type="paragraph" w:customStyle="1" w:styleId="DC339C08FCE4994D8767F865211C88A3">
    <w:name w:val="DC339C08FCE4994D8767F865211C88A3"/>
    <w:rsid w:val="00555B1B"/>
  </w:style>
  <w:style w:type="paragraph" w:customStyle="1" w:styleId="CEF03497064CD3459EA72384311455D6">
    <w:name w:val="CEF03497064CD3459EA72384311455D6"/>
    <w:rsid w:val="00555B1B"/>
  </w:style>
  <w:style w:type="paragraph" w:customStyle="1" w:styleId="D8B2C203FB81744B92C6E26F6525105F">
    <w:name w:val="D8B2C203FB81744B92C6E26F6525105F"/>
    <w:rsid w:val="00555B1B"/>
  </w:style>
  <w:style w:type="paragraph" w:customStyle="1" w:styleId="52D24D6A2834994AA4EF240A8FEC500D">
    <w:name w:val="52D24D6A2834994AA4EF240A8FEC500D"/>
    <w:rsid w:val="00555B1B"/>
  </w:style>
  <w:style w:type="paragraph" w:customStyle="1" w:styleId="D51F94C2FDB1BF4296EBC4CD1293F8A0">
    <w:name w:val="D51F94C2FDB1BF4296EBC4CD1293F8A0"/>
    <w:rsid w:val="00555B1B"/>
  </w:style>
  <w:style w:type="paragraph" w:customStyle="1" w:styleId="719CD1A5BFBD9F4FB9234B8E42D1CF36">
    <w:name w:val="719CD1A5BFBD9F4FB9234B8E42D1CF36"/>
    <w:rsid w:val="00555B1B"/>
  </w:style>
  <w:style w:type="paragraph" w:customStyle="1" w:styleId="61F2196E8D5BA347B0DDF11F600307B2">
    <w:name w:val="61F2196E8D5BA347B0DDF11F600307B2"/>
    <w:rsid w:val="00555B1B"/>
  </w:style>
  <w:style w:type="paragraph" w:customStyle="1" w:styleId="A23FF5427F203B4FAB56C6D078EFD05F">
    <w:name w:val="A23FF5427F203B4FAB56C6D078EFD05F"/>
    <w:rsid w:val="00555B1B"/>
  </w:style>
  <w:style w:type="paragraph" w:customStyle="1" w:styleId="3F077EC611985E4F8B64FC6D1164C47F">
    <w:name w:val="3F077EC611985E4F8B64FC6D1164C47F"/>
    <w:rsid w:val="00555B1B"/>
  </w:style>
  <w:style w:type="paragraph" w:customStyle="1" w:styleId="00400DBA17EDA04F9706B33E0E61F23B">
    <w:name w:val="00400DBA17EDA04F9706B33E0E61F23B"/>
    <w:rsid w:val="00555B1B"/>
  </w:style>
  <w:style w:type="paragraph" w:customStyle="1" w:styleId="12E9BD31AF391A4EB0A188EA73E4C65E">
    <w:name w:val="12E9BD31AF391A4EB0A188EA73E4C65E"/>
    <w:rsid w:val="00555B1B"/>
  </w:style>
  <w:style w:type="paragraph" w:customStyle="1" w:styleId="78494D5735547C40936C40698FE676D8">
    <w:name w:val="78494D5735547C40936C40698FE676D8"/>
    <w:rsid w:val="00555B1B"/>
  </w:style>
  <w:style w:type="paragraph" w:customStyle="1" w:styleId="3679F8974414F547B44AE4AD9AEBE956">
    <w:name w:val="3679F8974414F547B44AE4AD9AEBE956"/>
    <w:rsid w:val="00555B1B"/>
  </w:style>
  <w:style w:type="paragraph" w:customStyle="1" w:styleId="48C57A7B9EED6949A0D10CFEFCB1E0A3">
    <w:name w:val="48C57A7B9EED6949A0D10CFEFCB1E0A3"/>
    <w:rsid w:val="00555B1B"/>
  </w:style>
  <w:style w:type="paragraph" w:customStyle="1" w:styleId="2226779B5AE392448FA7D8F6047A6611">
    <w:name w:val="2226779B5AE392448FA7D8F6047A6611"/>
    <w:rsid w:val="00555B1B"/>
  </w:style>
  <w:style w:type="paragraph" w:customStyle="1" w:styleId="B2A2A1138F8BCC47BD07BAE251CAF7D8">
    <w:name w:val="B2A2A1138F8BCC47BD07BAE251CAF7D8"/>
    <w:rsid w:val="00E57B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02549D65-5856-9049-88AF-3218F982C803}">
  <we:reference id="wa200001361" version="2.2.1.0" store="en-GB" storeType="OMEX"/>
  <we:alternateReferences>
    <we:reference id="wa200001361" version="2.2.1.0" store="WA200001361" storeType="OMEX"/>
  </we:alternateReferences>
  <we:properties>
    <we:property name="paperpal-document-id" value="&quot;b4816c45-0ce8-4ffd-97a9-f85b62d77170&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66B1D731-7616-0843-BDD9-313FDA0D4A5D}">
  <we:reference id="wa104382081" version="1.55.1.0" store="en-GB" storeType="OMEX"/>
  <we:alternateReferences>
    <we:reference id="wa104382081" version="1.55.1.0" store="" storeType="OMEX"/>
  </we:alternateReferences>
  <we:properties>
    <we:property name="MENDELEY_CITATIONS" value="[{&quot;citationID&quot;:&quot;MENDELEY_CITATION_e90d75ab-6260-44c0-9969-682fecd26c6a&quot;,&quot;properties&quot;:{&quot;noteIndex&quot;:0},&quot;isEdited&quot;:false,&quot;manualOverride&quot;:{&quot;isManuallyOverridden&quot;:false,&quot;citeprocText&quot;:&quot;(Flyvbjerg, 2014)&quot;,&quot;manualOverrideText&quot;:&quot;&quot;},&quot;citationTag&quot;:&quot;MENDELEY_CITATION_v3_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&quot;,&quot;citationItems&quot;:[{&quot;id&quot;:&quot;694b1430-3618-36be-b308-7e130b5672dd&quot;,&quot;itemData&quot;:{&quot;type&quot;:&quot;article-journal&quot;,&quot;id&quot;:&quot;694b1430-3618-36be-b308-7e130b5672dd&quot;,&quot;title&quot;:&quot;What You Should Know About Megaprojects and Why: An Overview&quot;,&quot;author&quot;:[{&quot;family&quot;:&quot;Flyvbjerg&quot;,&quot;given&quot;:&quot;Bent&quot;,&quot;parse-names&quot;:false,&quot;dropping-particle&quot;:&quot;&quot;,&quot;non-dropping-particle&quot;:&quot;&quot;}],&quot;container-title&quot;:&quot;Project Management Journal&quot;,&quot;DOI&quot;:&quot;10.1002/pmj.21409&quot;,&quot;URL&quot;:&quot;files/909/Bent Flyvbjerg - 2014 - What You Should Know About Megaprojects and Why A.pdf&quot;,&quot;issued&quot;:{&quot;date-parts&quot;:[[2014]]},&quot;container-title-short&quot;:&quot;&quot;},&quot;isTemporary&quot;:false}]},{&quot;citationID&quot;:&quot;MENDELEY_CITATION_da30f9b3-9c01-412c-95ef-95de7c1d6bf7&quot;,&quot;properties&quot;:{&quot;noteIndex&quot;:0},&quot;isEdited&quot;:false,&quot;manualOverride&quot;:{&quot;isManuallyOverridden&quot;:true,&quot;citeprocText&quot;:&quot;(Pitsis &lt;i&gt;et al.&lt;/i&gt;, 2018a; Damayanti, Hartono and Wijaya, 2021; Klingmann, 2022)&quot;,&quot;manualOverrideText&quot;:&quot;(Pitsis et al., 2018a; Damayanti et al., 2021; Klingmann, 2022)&quot;},&quot;citationTag&quot;:&quot;MENDELEY_CITATION_v3_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&quot;,&quot;citationItems&quot;:[{&quot;id&quot;:&quot;322f39c3-83ba-3839-80cb-efcbe8934c7e&quot;,&quot;itemData&quot;:{&quot;type&quot;:&quot;article-journal&quot;,&quot;id&quot;:&quot;322f39c3-83ba-3839-80cb-efcbe8934c7e&quot;,&quot;title&quot;:&quot;Megaprojects Redefined – Complexity vs Cost and Social Imperatives&quot;,&quot;author&quot;:[{&quot;family&quot;:&quot;Pitsis&quot;,&quot;given&quot;:&quot;Alexandra&quot;,&quot;parse-names&quot;:false,&quot;dropping-particle&quot;:&quot;&quot;,&quot;non-dropping-particle&quot;:&quot;&quot;},{&quot;family&quot;:&quot;Clegg&quot;,&quot;given&quot;:&quot;Stewart&quot;,&quot;parse-names&quot;:false,&quot;dropping-particle&quot;:&quot;&quot;,&quot;non-dropping-particle&quot;:&quot;&quot;},{&quot;family&quot;:&quot;Freeder&quot;,&quot;given&quot;:&quot;Daphne&quot;,&quot;parse-names&quot;:false,&quot;dropping-particle&quot;:&quot;&quot;,&quot;non-dropping-particle&quot;:&quot;&quot;},{&quot;family&quot;:&quot;Sankaran&quot;,&quot;given&quot;:&quot;Shankar&quot;,&quot;parse-names&quot;:false,&quot;dropping-particle&quot;:&quot;&quot;,&quot;non-dropping-particle&quot;:&quot;&quot;},{&quot;family&quot;:&quot;Burdon&quot;,&quot;given&quot;:&quot;Stephen&quot;,&quot;parse-names&quot;:false,&quot;dropping-particle&quot;:&quot;&quot;,&quot;non-dropping-particle&quot;:&quot;&quot;}],&quot;container-title&quot;:&quot;International Journal of Managing Projects in Business&quot;,&quot;DOI&quot;:&quot;10.1108/ijmpb-07-2017-0080&quot;,&quot;URL&quot;:&quot;files/901/Alexandra Pitsis et al. - 2018 - Megaprojects Redefined – Complexity vs Cost and So.pdf&quot;,&quot;issued&quot;:{&quot;date-parts&quot;:[[2018]]},&quot;container-title-short&quot;:&quot;&quot;},&quot;isTemporary&quot;:false},{&quot;id&quot;:&quot;4d1df224-3921-31ac-905b-e4c25ebab975&quot;,&quot;itemData&quot;:{&quot;type&quot;:&quot;article-journal&quot;,&quot;id&quot;:&quot;4d1df224-3921-31ac-905b-e4c25ebab975&quot;,&quot;title&quot;:&quot;Rescripting Riyadh: How the Capital of Saudi Arabia Employs Urban Megaprojects as Catalysts to Enhance the Quality of Life Within the City’s Neighborhoods&quot;,&quot;author&quot;:[{&quot;family&quot;:&quot;Klingmann&quot;,&quot;given&quot;:&quot;Anna&quot;,&quot;parse-names&quot;:false,&quot;dropping-particle&quot;:&quot;&quot;,&quot;non-dropping-particle&quot;:&quot;&quot;}],&quot;container-title&quot;:&quot;Journal of Place Management and Development&quot;,&quot;DOI&quot;:&quot;10.1108/jpmd-06-2021-0062&quot;,&quot;issued&quot;:{&quot;date-parts&quot;:[[2022]]},&quot;container-title-short&quot;:&quot;&quot;},&quot;isTemporary&quot;:false},{&quot;id&quot;:&quot;6469458e-ec9e-3ac2-90af-9f1d1d45d79b&quot;,&quot;itemData&quot;:{&quot;type&quot;:&quot;article-journal&quot;,&quot;id&quot;:&quot;6469458e-ec9e-3ac2-90af-9f1d1d45d79b&quot;,&quot;title&quot;:&quot;Clarifying Megaproject Complexity in Developing Countries: A Literature Review and Conceptual Study&quot;,&quot;author&quot;:[{&quot;family&quot;:&quot;Damayanti&quot;,&quot;given&quot;:&quot;Retno Wulan&quot;,&quot;parse-names&quot;:false,&quot;dropping-particle&quot;:&quot;&quot;,&quot;non-dropping-particle&quot;:&quot;&quot;},{&quot;family&quot;:&quot;Hartono&quot;,&quot;given&quot;:&quot;Budi&quot;,&quot;parse-names&quot;:false,&quot;dropping-particle&quot;:&quot;&quot;,&quot;non-dropping-particle&quot;:&quot;&quot;},{&quot;family&quot;:&quot;Wijaya&quot;,&quot;given&quot;:&quot;Andi Rahadiyan&quot;,&quot;parse-names&quot;:false,&quot;dropping-particle&quot;:&quot;&quot;,&quot;non-dropping-particle&quot;:&quot;&quot;}],&quot;container-title&quot;:&quot;International Journal of Engineering Business Management&quot;,&quot;DOI&quot;:&quot;10.1177/18479790211027414&quot;,&quot;issued&quot;:{&quot;date-parts&quot;:[[2021]]},&quot;container-title-short&quot;:&quot;&quot;},&quot;isTemporary&quot;:false}]},{&quot;citationID&quot;:&quot;MENDELEY_CITATION_4bbb8ae6-fe23-4051-9bd6-e343a3cfa973&quot;,&quot;properties&quot;:{&quot;noteIndex&quot;:0},&quot;isEdited&quot;:false,&quot;manualOverride&quot;:{&quot;isManuallyOverridden&quot;:true,&quot;citeprocText&quot;:&quot;(Pitsis &lt;i&gt;et al.&lt;/i&gt;, 2018b; Klingmann, 2022)&quot;,&quot;manualOverrideText&quot;:&quot;(Pitsis et al. 2018b; Klingmann 2022)&quot;},&quot;citationTag&quot;:&quot;MENDELEY_CITATION_v3_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&quot;,&quot;citationItems&quot;:[{&quot;id&quot;:&quot;5bc7b94b-ffce-3c4f-9e2b-a8269d2c462e&quot;,&quot;itemData&quot;:{&quot;type&quot;:&quot;article-journal&quot;,&quot;id&quot;:&quot;5bc7b94b-ffce-3c4f-9e2b-a8269d2c462e&quot;,&quot;title&quot;:&quot;Megaprojects redefined – complexity vs cost and social imperatives&quot;,&quot;author&quot;:[{&quot;family&quot;:&quot;Pitsis&quot;,&quot;given&quot;:&quot;Alexandra&quot;,&quot;parse-names&quot;:false,&quot;dropping-particle&quot;:&quot;&quot;,&quot;non-dropping-particle&quot;:&quot;&quot;},{&quot;family&quot;:&quot;Clegg&quot;,&quot;given&quot;:&quot;Stewart&quot;,&quot;parse-names&quot;:false,&quot;dropping-particle&quot;:&quot;&quot;,&quot;non-dropping-particle&quot;:&quot;&quot;},{&quot;family&quot;:&quot;Freeder&quot;,&quot;given&quot;:&quot;Daphne&quot;,&quot;parse-names&quot;:false,&quot;dropping-particle&quot;:&quot;&quot;,&quot;non-dropping-particle&quot;:&quot;&quot;},{&quot;family&quot;:&quot;Sankaran&quot;,&quot;given&quot;:&quot;Shankar&quot;,&quot;parse-names&quot;:false,&quot;dropping-particle&quot;:&quot;&quot;,&quot;non-dropping-particle&quot;:&quot;&quot;},{&quot;family&quot;:&quot;Burdon&quot;,&quot;given&quot;:&quot;Stephen&quot;,&quot;parse-names&quot;:false,&quot;dropping-particle&quot;:&quot;&quot;,&quot;non-dropping-particle&quot;:&quot;&quot;}],&quot;container-title&quot;:&quot;International Journal of Managing Projects in Business&quot;,&quot;DOI&quot;:&quot;10.1108/IJMPB-07-2017-0080&quot;,&quot;ISSN&quot;:&quot;17538386&quot;,&quot;issued&quot;:{&quot;date-parts&quot;:[[2018]]},&quot;page&quot;:&quot;7-34&quot;,&quot;abstract&quot;:&quot;Purpose: The purpose of this paper is to provide a brief overview from the literature on how best to define megaprojects in contemporary contexts. There is a need for a definition that encompasses a complex matrix of characteristics, inclusive of positive and negative aspects, which are not necessarily industry or sector specific. Whilst megaprojects have often been described and defined in terms of cost, they are more accurately delineated by their convolutions. Intricacies arise from political intrigues surrounding funding of such projects and managing and governing complex social and organizational relations. Points for future research are also identified. Design/methodology/approach: An analysis of international megaproject literature over the past five years combined with seminal works was undertaken, drawing on the broad literature of project and program management combined with elements of organizational theory. Whilst some examples are cited, in-depth case analysis has not been covered. Findings: Albeit that the scale of some megaprojects is comparable to national GDPs, seven more characteristics beyond size have been identified, which distinguish megaprojects from large projects. These include: reach; duration; risks and uncertainties; widely disparate actors; areas of controversy such as dispute resolution; and legal and regulatory issues. Research limitations/implications: The paper takes a broad overview and whilst some examples are cited, in-depth case analysis has not been covered. The overview does however provide a good synopsis of the future research areas that warrant exploration. Practical implications: The paper identifies a range of analytical areas for major future research including further exploration of institutional analysis. Areas for further analysis include stakeholder issues; collaboration and understanding between technical and business personnel and reforming notions of procurement and contractual arrangements. Social implications: Rigorous stakeholder engagement is critical for success in megaprojects, and collaborative learnings need to be exchanged. The longer term social and economic impacts need to be viewed as an imperative rather than a hindrance to the planning and execution of megaprojects and complexity rather than cost more aptly defines megaprojects. Originality/value: The paper moves the definition of megaprojects to beyond measurement on the basis of cost to complexity and social and economic variables.&quot;,&quot;issue&quot;:&quot;1&quot;,&quot;volume&quot;:&quot;11&quot;,&quot;container-title-short&quot;:&quot;&quot;},&quot;isTemporary&quot;:false},{&quot;id&quot;:&quot;4d1df224-3921-31ac-905b-e4c25ebab975&quot;,&quot;itemData&quot;:{&quot;type&quot;:&quot;article-journal&quot;,&quot;id&quot;:&quot;4d1df224-3921-31ac-905b-e4c25ebab975&quot;,&quot;title&quot;:&quot;Rescripting Riyadh: How the Capital of Saudi Arabia Employs Urban Megaprojects as Catalysts to Enhance the Quality of Life Within the City’s Neighborhoods&quot;,&quot;author&quot;:[{&quot;family&quot;:&quot;Klingmann&quot;,&quot;given&quot;:&quot;Anna&quot;,&quot;parse-names&quot;:false,&quot;dropping-particle&quot;:&quot;&quot;,&quot;non-dropping-particle&quot;:&quot;&quot;}],&quot;container-title&quot;:&quot;Journal of Place Management and Development&quot;,&quot;DOI&quot;:&quot;10.1108/jpmd-06-2021-0062&quot;,&quot;issued&quot;:{&quot;date-parts&quot;:[[2022]]},&quot;container-title-short&quot;:&quot;&quot;},&quot;isTemporary&quot;:false}]},{&quot;citationID&quot;:&quot;MENDELEY_CITATION_293f2acf-ffc6-41dd-9707-b816bffa5461&quot;,&quot;properties&quot;:{&quot;noteIndex&quot;:0},&quot;isEdited&quot;:false,&quot;manualOverride&quot;:{&quot;isManuallyOverridden&quot;:false,&quot;citeprocText&quot;:&quot;(Slaughter, 2016)&quot;,&quot;manualOverrideText&quot;:&quot;&quot;},&quot;citationTag&quot;:&quot;MENDELEY_CITATION_v3_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&quot;,&quot;citationItems&quot;:[{&quot;id&quot;:&quot;d968c154-e28a-3101-8d29-56b4b7d1c5b1&quot;,&quot;itemData&quot;:{&quot;type&quot;:&quot;article-journal&quot;,&quot;id&quot;:&quot;d968c154-e28a-3101-8d29-56b4b7d1c5b1&quot;,&quot;title&quot;:&quot;How 'development' promotes redundant visions: The case of the queen's wharf casino project, Brisbane&quot;,&quot;author&quot;:[{&quot;family&quot;:&quot;Slaughter&quot;,&quot;given&quot;:&quot;Richard A.&quot;,&quot;parse-names&quot;:false,&quot;dropping-particle&quot;:&quot;&quot;,&quot;non-dropping-particle&quot;:&quot;&quot;}],&quot;container-title&quot;:&quot;Journal of Futures Studies&quot;,&quot;DOI&quot;:&quot;10.6531/JFS.2016.21(1). E77&quot;,&quot;ISSN&quot;:&quot;10276084&quot;,&quot;issued&quot;:{&quot;date-parts&quot;:[[2016]]},&quot;page&quot;:&quot;77-84&quot;,&quot;abstract&quot;:&quot;Pathways toward 'overshoot and collapse' futures are not always or exclusively determined by international trends, national governments, wars and large-scale events. While these gain considerable attention their overall impact is arguably no greater than the constant 'drip, drip, drip' of conventional decision-making around more mundane activities that fall under familiar headings like 'business strategy', 'economic growth' and 'development'. While cities have master plans and strategic goals most of them evolve within, and are expressed through, a continuous series of commercially inspired projects founded on narrow short-term economic assumptions. They emerge from a typically up-beat, entrepreneurial (profit-oriented) and finance-based worldview that is little short of delusional. As a result, many large-scale projects are poorly conceived and end up working against shared community interests. The central purpose of this paper is to contribute toward a broad re-appraisal of such projects in the hope that future 'developments' can be turned toward more consciously proactive and socially responsible ends.&quot;,&quot;issue&quot;:&quot;1&quot;,&quot;volume&quot;:&quot;21&quot;,&quot;container-title-short&quot;:&quot;&quot;},&quot;isTemporary&quot;:false}]},{&quot;citationID&quot;:&quot;MENDELEY_CITATION_9b36f5d7-cf5d-471c-94fd-1bdba856f86a&quot;,&quot;properties&quot;:{&quot;noteIndex&quot;:0},&quot;isEdited&quot;:false,&quot;manualOverride&quot;:{&quot;isManuallyOverridden&quot;:false,&quot;citeprocText&quot;:&quot;(Australian Bureau of Statistics, 2023)&quot;,&quot;manualOverrideText&quot;:&quot;&quot;},&quot;citationItems&quot;:[{&quot;id&quot;:&quot;a5c744dc-460a-3979-8a58-f50501f351ee&quot;,&quot;itemData&quot;:{&quot;type&quot;:&quot;webpage&quot;,&quot;id&quot;:&quot;a5c744dc-460a-3979-8a58-f50501f351ee&quot;,&quot;title&quot;:&quot;https://www.abs.gov.au/statistics/people/population/regional-population/2021-22#capital-cities&quot;,&quot;author&quot;:[{&quot;family&quot;:&quot;Australian Bureau of Statistics&quot;,&quot;given&quot;:&quot;&quot;,&quot;parse-names&quot;:false,&quot;dropping-particle&quot;:&quot;&quot;,&quot;non-dropping-particle&quot;:&quot;&quot;}],&quot;issued&quot;:{&quot;date-parts&quot;:[[2023]]},&quot;container-title-short&quot;:&quot;&quot;},&quot;isTemporary&quot;:false}],&quot;citationTag&quot;:&quot;MENDELEY_CITATION_v3_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&quot;},{&quot;citationID&quot;:&quot;MENDELEY_CITATION_d29e770a-baa9-4530-849c-ea594a19d61a&quot;,&quot;properties&quot;:{&quot;noteIndex&quot;:0},&quot;isEdited&quot;:false,&quot;manualOverride&quot;:{&quot;isManuallyOverridden&quot;:false,&quot;citeprocText&quot;:&quot;(Harris, 2016)&quot;,&quot;manualOverrideText&quot;:&quot;&quot;},&quot;citationTag&quot;:&quot;MENDELEY_CITATION_v3_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&quot;,&quot;citationItems&quot;:[{&quot;id&quot;:&quot;8c1b99b3-f106-3e05-bd23-f0fb195e5f32&quot;,&quot;itemData&quot;:{&quot;type&quot;:&quot;chapter&quot;,&quot;id&quot;:&quot;8c1b99b3-f106-3e05-bd23-f0fb195e5f32&quot;,&quot;title&quot;:&quot;Barangaroo: Machiavellian megaproject or erosion of intent?&quot;,&quot;author&quot;:[{&quot;family&quot;:&quot;Harris&quot;,&quot;given&quot;:&quot;Mike&quot;,&quot;parse-names&quot;:false,&quot;dropping-particle&quot;:&quot;&quot;,&quot;non-dropping-particle&quot;:&quot;&quot;}],&quot;container-title&quot;:&quot;Urban Regeneration in Australia: Policies, Processes and Projects of Contemporary Urban Change&quot;,&quot;ISBN&quot;:&quot;978-1-317-00349-6 978-1-4724-7163-5&quot;,&quot;issued&quot;:{&quot;date-parts&quot;:[[2016]]},&quot;page&quot;:&quot;111-134&quot;,&quot;publisher&quot;:&quot;Taylor and Francis&quot;,&quot;container-title-short&quot;:&quot;&quot;},&quot;isTemporary&quot;:false}]},{&quot;citationID&quot;:&quot;MENDELEY_CITATION_dccb921a-0cc2-458c-a5e4-6502a2e0a607&quot;,&quot;properties&quot;:{&quot;noteIndex&quot;:0},&quot;isEdited&quot;:false,&quot;manualOverride&quot;:{&quot;isManuallyOverridden&quot;:true,&quot;citeprocText&quot;:&quot;(Swyngedouw, Moulaert and Arantxa, 2002)&quot;,&quot;manualOverrideText&quot;:&quot;(Swyngedouw et al., 2002)&quot;},&quot;citationTag&quot;:&quot;MENDELEY_CITATION_v3_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&quot;,&quot;citationItems&quot;:[{&quot;id&quot;:&quot;016f1b4d-6ec7-3bc3-88c0-2715d0913693&quot;,&quot;itemData&quot;:{&quot;type&quot;:&quot;article-journal&quot;,&quot;id&quot;:&quot;016f1b4d-6ec7-3bc3-88c0-2715d0913693&quot;,&quot;title&quot;:&quot;New Geographies of Power, Exclusion and Injustice Neoliberal Urbanization in Europe : Large-Scale Urban Development Projects and the New Urban Policy&quot;,&quot;author&quot;:[{&quot;family&quot;:&quot;Swyngedouw&quot;,&quot;given&quot;:&quot;Erik&quot;,&quot;parse-names&quot;:false,&quot;dropping-particle&quot;:&quot;&quot;,&quot;non-dropping-particle&quot;:&quot;&quot;},{&quot;family&quot;:&quot;Moulaert&quot;,&quot;given&quot;:&quot;Frank&quot;,&quot;parse-names&quot;:false,&quot;dropping-particle&quot;:&quot;&quot;,&quot;non-dropping-particle&quot;:&quot;&quot;},{&quot;family&quot;:&quot;Arantxa&quot;,&quot;given&quot;:&quot;Rodriguez&quot;,&quot;parse-names&quot;:false,&quot;dropping-particle&quot;:&quot;&quot;,&quot;non-dropping-particle&quot;:&quot;&quot;}],&quot;container-title&quot;:&quot;Antipode&quot;,&quot;container-title-short&quot;:&quot;Antipode&quot;,&quot;ISSN&quot;:&quot;0066-4812&quot;,&quot;URL&quot;:&quot;files/1630/1467-8330.00254 (1).pdf&quot;,&quot;issued&quot;:{&quot;date-parts&quot;:[[2002]]},&quot;page&quot;:&quot;542-577&quot;,&quot;abstract&quot;:&quot;This paper summarizes the theoretical insights drawn from a study of thirteen large- scale urban development projects (UDPs) in twelve European Union countries. The project focused on the way in which globalization and liberalization articulate with the emergence of new forms of governance, on the formation of a new scalar gestalt of governing and on the relationship between large-scale urban development and political, social and economic power relations in the city. Among the most important conclusions, we found that: Large-scale UDPs have increasingly been used as a vehicle to establish exceptionality measures in planning and policy procedures. This is part of a neoliberal New Urban Policy approach and its selective middle- and upper- class democracy. It is associated with new forms of governing urban inter- ventions, characterized by less democratic and more elite-driven priorities. Local democratic participation mechanisms are not respected or are applied in a very formalist way, resulting in a new choreography of elite power. However, grassroots movements occasionally manage to turn the course of events in favor of local participation and of modest social returns for deprived social groups. The UDPs are poorly integrated at best into the wider urban process and planning system. As a consequence, their impact on a city as a whole and on the areas where the projects are located remains ambiguous. Most UDPs accentuate socioeconomic polarization through the working of real-estate markets (price rises and displacement of social or low-income housing), changes in the priorities of public budgets that are increasingly redirected from social objectives to investments in the built environment and the restructuring of the labor market. The UDPs reflect and embody a series of processes that are associated with changing spatial scales of governance; these changes, in turn, reflect a shifting geometry of power in the governing of urbanization.&quot;,&quot;volume&quot;:&quot;34&quot;},&quot;isTemporary&quot;:false}]},{&quot;citationID&quot;:&quot;MENDELEY_CITATION_fe421ce7-0bf6-4be4-8cee-bde08ce0f28a&quot;,&quot;properties&quot;:{&quot;noteIndex&quot;:0},&quot;isEdited&quot;:false,&quot;manualOverride&quot;:{&quot;isManuallyOverridden&quot;:true,&quot;citeprocText&quot;:&quot;(Flyvbjerg, 2014; Santamaría, 2019)&quot;,&quot;manualOverrideText&quot;:&quot;(Flyvbjerg 2014; Santamaría 2019)&quot;},&quot;citationTag&quot;:&quot;MENDELEY_CITATION_v3_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&quot;,&quot;citationItems&quot;:[{&quot;id&quot;:&quot;694b1430-3618-36be-b308-7e130b5672dd&quot;,&quot;itemData&quot;:{&quot;type&quot;:&quot;article-journal&quot;,&quot;id&quot;:&quot;694b1430-3618-36be-b308-7e130b5672dd&quot;,&quot;title&quot;:&quot;What You Should Know About Megaprojects and Why: An Overview&quot;,&quot;author&quot;:[{&quot;family&quot;:&quot;Flyvbjerg&quot;,&quot;given&quot;:&quot;Bent&quot;,&quot;parse-names&quot;:false,&quot;dropping-particle&quot;:&quot;&quot;,&quot;non-dropping-particle&quot;:&quot;&quot;}],&quot;container-title&quot;:&quot;Project Management Journal&quot;,&quot;DOI&quot;:&quot;10.1002/pmj.21409&quot;,&quot;URL&quot;:&quot;files/909/Bent Flyvbjerg - 2014 - What You Should Know About Megaprojects and Why A.pdf&quot;,&quot;issued&quot;:{&quot;date-parts&quot;:[[2014]]},&quot;container-title-short&quot;:&quot;&quot;},&quot;isTemporary&quot;:false},{&quot;id&quot;:&quot;7c12f67a-c73b-3653-b23c-d5a9ee0f0bbf&quot;,&quot;itemData&quot;:{&quot;type&quot;:&quot;article-journal&quot;,&quot;id&quot;:&quot;7c12f67a-c73b-3653-b23c-d5a9ee0f0bbf&quot;,&quot;title&quot;:&quot;Megaprojects, Development and Competitiveness: Building the Infrastructure for Globalization and Neoliberalism&quot;,&quot;author&quot;:[{&quot;family&quot;:&quot;Santamaría&quot;,&quot;given&quot;:&quot;Gerardo del Cerro&quot;,&quot;parse-names&quot;:false,&quot;dropping-particle&quot;:&quot;&quot;,&quot;non-dropping-particle&quot;:&quot;&quot;}],&quot;container-title&quot;:&quot;Athens Journal of Social Sciences&quot;,&quot;DOI&quot;:&quot;10.30958/ajss.6-4-1&quot;,&quot;URL&quot;:&quot;files/902/Gerardo del Cerro Santamaría - 2019 - Megaprojects, Development and Competitiveness Bui.pdf&quot;,&quot;issued&quot;:{&quot;date-parts&quot;:[[2019]]},&quot;container-title-short&quot;:&quot;&quot;},&quot;isTemporary&quot;:false}]},{&quot;citationID&quot;:&quot;MENDELEY_CITATION_eef07770-ace7-41dd-b300-77b7a8bb6cc1&quot;,&quot;properties&quot;:{&quot;noteIndex&quot;:0},&quot;isEdited&quot;:false,&quot;manualOverride&quot;:{&quot;isManuallyOverridden&quot;:false,&quot;citeprocText&quot;:&quot;(Mevada and Devkar, 2017; Hübscher, 2019)&quot;,&quot;manualOverrideText&quot;:&quot;&quot;},&quot;citationTag&quot;:&quot;MENDELEY_CITATION_v3_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&quot;,&quot;citationItems&quot;:[{&quot;id&quot;:&quot;94e27909-6771-3d93-8355-39df9ccdfa61&quot;,&quot;itemData&quot;:{&quot;type&quot;:&quot;article-journal&quot;,&quot;id&quot;:&quot;94e27909-6771-3d93-8355-39df9ccdfa61&quot;,&quot;title&quot;:&quot;From Megaprojects to Tourism Gentrification? The Case of Santa Cruz Verde 2030 (Canary Islands, Spain)&quot;,&quot;author&quot;:[{&quot;family&quot;:&quot;Hübscher&quot;,&quot;given&quot;:&quot;Marcus&quot;,&quot;parse-names&quot;:false,&quot;dropping-particle&quot;:&quot;&quot;,&quot;non-dropping-particle&quot;:&quot;&quot;}],&quot;container-title&quot;:&quot;Boletín De La Asociación De Geógrafos Españoles&quot;,&quot;DOI&quot;:&quot;10.21138/bage.2813&quot;,&quot;URL&quot;:&quot;files/896/Marcus Hübscher - 2019 - From Megaprojects to Tourism Gentrification The C.pdf&quot;,&quot;issued&quot;:{&quot;date-parts&quot;:[[2019]]},&quot;container-title-short&quot;:&quot;&quot;},&quot;isTemporary&quot;:false},{&quot;id&quot;:&quot;4f28df05-505d-3786-8fe2-b4e2f7b35afc&quot;,&quot;itemData&quot;:{&quot;type&quot;:&quot;article-journal&quot;,&quot;id&quot;:&quot;4f28df05-505d-3786-8fe2-b4e2f7b35afc&quot;,&quot;title&quot;:&quot;Analysis of Reasons for Cost and Time Overrun in Indian Megaprojects&quot;,&quot;author&quot;:[{&quot;family&quot;:&quot;Mevada&quot;,&quot;given&quot;:&quot;Jay&quot;,&quot;parse-names&quot;:false,&quot;dropping-particle&quot;:&quot;&quot;,&quot;non-dropping-particle&quot;:&quot;&quot;},{&quot;family&quot;:&quot;Devkar&quot;,&quot;given&quot;:&quot;Ganesh&quot;,&quot;parse-names&quot;:false,&quot;dropping-particle&quot;:&quot;&quot;,&quot;non-dropping-particle&quot;:&quot;&quot;}],&quot;container-title&quot;:&quot;Matec Web of Conferences&quot;,&quot;DOI&quot;:&quot;10.1051/matecconf/201712002018&quot;,&quot;URL&quot;:&quot;files/895/Jay Mevada and Ganesh Devkar - 2017 - Analysis of Reasons for Cost and Time Overrun in I.pdf&quot;,&quot;issued&quot;:{&quot;date-parts&quot;:[[2017]]},&quot;container-title-short&quot;:&quot;&quot;},&quot;isTemporary&quot;:false}]},{&quot;citationID&quot;:&quot;MENDELEY_CITATION_6e531d44-ad0e-40f7-ac98-53a37bea9cea&quot;,&quot;properties&quot;:{&quot;noteIndex&quot;:0},&quot;isEdited&quot;:false,&quot;manualOverride&quot;:{&quot;isManuallyOverridden&quot;:true,&quot;citeprocText&quot;:&quot;(Hübscher, 2019)&quot;,&quot;manualOverrideText&quot;:&quot;(Hübscher 2019)&quot;},&quot;citationTag&quot;:&quot;MENDELEY_CITATION_v3_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&quot;,&quot;citationItems&quot;:[{&quot;id&quot;:&quot;94e27909-6771-3d93-8355-39df9ccdfa61&quot;,&quot;itemData&quot;:{&quot;type&quot;:&quot;article-journal&quot;,&quot;id&quot;:&quot;94e27909-6771-3d93-8355-39df9ccdfa61&quot;,&quot;title&quot;:&quot;From Megaprojects to Tourism Gentrification? The Case of Santa Cruz Verde 2030 (Canary Islands, Spain)&quot;,&quot;author&quot;:[{&quot;family&quot;:&quot;Hübscher&quot;,&quot;given&quot;:&quot;Marcus&quot;,&quot;parse-names&quot;:false,&quot;dropping-particle&quot;:&quot;&quot;,&quot;non-dropping-particle&quot;:&quot;&quot;}],&quot;container-title&quot;:&quot;Boletín De La Asociación De Geógrafos Españoles&quot;,&quot;DOI&quot;:&quot;10.21138/bage.2813&quot;,&quot;URL&quot;:&quot;files/896/Marcus Hübscher - 2019 - From Megaprojects to Tourism Gentrification The C.pdf&quot;,&quot;issued&quot;:{&quot;date-parts&quot;:[[2019]]},&quot;container-title-short&quot;:&quot;&quot;},&quot;isTemporary&quot;:false}]},{&quot;citationID&quot;:&quot;MENDELEY_CITATION_aaeb54a8-bffe-43d8-a99f-b366412759a5&quot;,&quot;properties&quot;:{&quot;noteIndex&quot;:0},&quot;isEdited&quot;:false,&quot;manualOverride&quot;:{&quot;isManuallyOverridden&quot;:false,&quot;citeprocText&quot;:&quot;(Santamaría, 2019)&quot;,&quot;manualOverrideText&quot;:&quot;&quot;},&quot;citationTag&quot;:&quot;MENDELEY_CITATION_v3_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&quot;,&quot;citationItems&quot;:[{&quot;id&quot;:&quot;7c12f67a-c73b-3653-b23c-d5a9ee0f0bbf&quot;,&quot;itemData&quot;:{&quot;type&quot;:&quot;article-journal&quot;,&quot;id&quot;:&quot;7c12f67a-c73b-3653-b23c-d5a9ee0f0bbf&quot;,&quot;title&quot;:&quot;Megaprojects, Development and Competitiveness: Building the Infrastructure for Globalization and Neoliberalism&quot;,&quot;author&quot;:[{&quot;family&quot;:&quot;Santamaría&quot;,&quot;given&quot;:&quot;Gerardo del Cerro&quot;,&quot;parse-names&quot;:false,&quot;dropping-particle&quot;:&quot;&quot;,&quot;non-dropping-particle&quot;:&quot;&quot;}],&quot;container-title&quot;:&quot;Athens Journal of Social Sciences&quot;,&quot;DOI&quot;:&quot;10.30958/ajss.6-4-1&quot;,&quot;URL&quot;:&quot;files/902/Gerardo del Cerro Santamaría - 2019 - Megaprojects, Development and Competitiveness Bui.pdf&quot;,&quot;issued&quot;:{&quot;date-parts&quot;:[[2019]]},&quot;container-title-short&quot;:&quot;&quot;},&quot;isTemporary&quot;:false}]},{&quot;citationID&quot;:&quot;MENDELEY_CITATION_01d9159f-d1a1-4877-9b21-9369ac687ed8&quot;,&quot;properties&quot;:{&quot;noteIndex&quot;:0},&quot;isEdited&quot;:false,&quot;manualOverride&quot;:{&quot;isManuallyOverridden&quot;:false,&quot;citeprocText&quot;:&quot;(Mevada and Devkar, 2017)&quot;,&quot;manualOverrideText&quot;:&quot;&quot;},&quot;citationTag&quot;:&quot;MENDELEY_CITATION_v3_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&quot;,&quot;citationItems&quot;:[{&quot;id&quot;:&quot;4f28df05-505d-3786-8fe2-b4e2f7b35afc&quot;,&quot;itemData&quot;:{&quot;type&quot;:&quot;article-journal&quot;,&quot;id&quot;:&quot;4f28df05-505d-3786-8fe2-b4e2f7b35afc&quot;,&quot;title&quot;:&quot;Analysis of Reasons for Cost and Time Overrun in Indian Megaprojects&quot;,&quot;author&quot;:[{&quot;family&quot;:&quot;Mevada&quot;,&quot;given&quot;:&quot;Jay&quot;,&quot;parse-names&quot;:false,&quot;dropping-particle&quot;:&quot;&quot;,&quot;non-dropping-particle&quot;:&quot;&quot;},{&quot;family&quot;:&quot;Devkar&quot;,&quot;given&quot;:&quot;Ganesh&quot;,&quot;parse-names&quot;:false,&quot;dropping-particle&quot;:&quot;&quot;,&quot;non-dropping-particle&quot;:&quot;&quot;}],&quot;container-title&quot;:&quot;Matec Web of Conferences&quot;,&quot;DOI&quot;:&quot;10.1051/matecconf/201712002018&quot;,&quot;URL&quot;:&quot;files/895/Jay Mevada and Ganesh Devkar - 2017 - Analysis of Reasons for Cost and Time Overrun in I.pdf&quot;,&quot;issued&quot;:{&quot;date-parts&quot;:[[2017]]},&quot;container-title-short&quot;:&quot;&quot;},&quot;isTemporary&quot;:false}]},{&quot;citationID&quot;:&quot;MENDELEY_CITATION_3e320c87-5bd2-4e35-a473-690d5a751c14&quot;,&quot;properties&quot;:{&quot;noteIndex&quot;:0},&quot;isEdited&quot;:false,&quot;manualOverride&quot;:{&quot;isManuallyOverridden&quot;:false,&quot;citeprocText&quot;:&quot;(Santamaría, 2019)&quot;,&quot;manualOverrideText&quot;:&quot;&quot;},&quot;citationTag&quot;:&quot;MENDELEY_CITATION_v3_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&quot;,&quot;citationItems&quot;:[{&quot;id&quot;:&quot;7c12f67a-c73b-3653-b23c-d5a9ee0f0bbf&quot;,&quot;itemData&quot;:{&quot;type&quot;:&quot;article-journal&quot;,&quot;id&quot;:&quot;7c12f67a-c73b-3653-b23c-d5a9ee0f0bbf&quot;,&quot;title&quot;:&quot;Megaprojects, Development and Competitiveness: Building the Infrastructure for Globalization and Neoliberalism&quot;,&quot;author&quot;:[{&quot;family&quot;:&quot;Santamaría&quot;,&quot;given&quot;:&quot;Gerardo del Cerro&quot;,&quot;parse-names&quot;:false,&quot;dropping-particle&quot;:&quot;&quot;,&quot;non-dropping-particle&quot;:&quot;&quot;}],&quot;container-title&quot;:&quot;Athens Journal of Social Sciences&quot;,&quot;DOI&quot;:&quot;10.30958/ajss.6-4-1&quot;,&quot;URL&quot;:&quot;files/902/Gerardo del Cerro Santamaría - 2019 - Megaprojects, Development and Competitiveness Bui.pdf&quot;,&quot;issued&quot;:{&quot;date-parts&quot;:[[2019]]},&quot;container-title-short&quot;:&quot;&quot;},&quot;isTemporary&quot;:false}]},{&quot;citationID&quot;:&quot;MENDELEY_CITATION_f4c21d70-e86f-4315-b4fa-52f9de2c2b62&quot;,&quot;properties&quot;:{&quot;noteIndex&quot;:0},&quot;isEdited&quot;:false,&quot;manualOverride&quot;:{&quot;isManuallyOverridden&quot;:false,&quot;citeprocText&quot;:&quot;(Santamaría, 2019)&quot;,&quot;manualOverrideText&quot;:&quot;&quot;},&quot;citationTag&quot;:&quot;MENDELEY_CITATION_v3_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&quot;,&quot;citationItems&quot;:[{&quot;id&quot;:&quot;7c12f67a-c73b-3653-b23c-d5a9ee0f0bbf&quot;,&quot;itemData&quot;:{&quot;type&quot;:&quot;article-journal&quot;,&quot;id&quot;:&quot;7c12f67a-c73b-3653-b23c-d5a9ee0f0bbf&quot;,&quot;title&quot;:&quot;Megaprojects, Development and Competitiveness: Building the Infrastructure for Globalization and Neoliberalism&quot;,&quot;author&quot;:[{&quot;family&quot;:&quot;Santamaría&quot;,&quot;given&quot;:&quot;Gerardo del Cerro&quot;,&quot;parse-names&quot;:false,&quot;dropping-particle&quot;:&quot;&quot;,&quot;non-dropping-particle&quot;:&quot;&quot;}],&quot;container-title&quot;:&quot;Athens Journal of Social Sciences&quot;,&quot;DOI&quot;:&quot;10.30958/ajss.6-4-1&quot;,&quot;URL&quot;:&quot;files/902/Gerardo del Cerro Santamaría - 2019 - Megaprojects, Development and Competitiveness Bui.pdf&quot;,&quot;issued&quot;:{&quot;date-parts&quot;:[[2019]]},&quot;container-title-short&quot;:&quot;&quot;},&quot;isTemporary&quot;:false}]},{&quot;citationID&quot;:&quot;MENDELEY_CITATION_ddb8fb27-8d33-4801-9d97-f105d159be31&quot;,&quot;properties&quot;:{&quot;noteIndex&quot;:0},&quot;isEdited&quot;:false,&quot;manualOverride&quot;:{&quot;isManuallyOverridden&quot;:false,&quot;citeprocText&quot;:&quot;(Hübscher, 2019)&quot;,&quot;manualOverrideText&quot;:&quot;&quot;},&quot;citationTag&quot;:&quot;MENDELEY_CITATION_v3_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&quot;,&quot;citationItems&quot;:[{&quot;id&quot;:&quot;94e27909-6771-3d93-8355-39df9ccdfa61&quot;,&quot;itemData&quot;:{&quot;type&quot;:&quot;article-journal&quot;,&quot;id&quot;:&quot;94e27909-6771-3d93-8355-39df9ccdfa61&quot;,&quot;title&quot;:&quot;From Megaprojects to Tourism Gentrification? The Case of Santa Cruz Verde 2030 (Canary Islands, Spain)&quot;,&quot;author&quot;:[{&quot;family&quot;:&quot;Hübscher&quot;,&quot;given&quot;:&quot;Marcus&quot;,&quot;parse-names&quot;:false,&quot;dropping-particle&quot;:&quot;&quot;,&quot;non-dropping-particle&quot;:&quot;&quot;}],&quot;container-title&quot;:&quot;Boletín De La Asociación De Geógrafos Españoles&quot;,&quot;DOI&quot;:&quot;10.21138/bage.2813&quot;,&quot;URL&quot;:&quot;files/896/Marcus Hübscher - 2019 - From Megaprojects to Tourism Gentrification The C.pdf&quot;,&quot;issued&quot;:{&quot;date-parts&quot;:[[2019]]},&quot;container-title-short&quot;:&quot;&quot;},&quot;isTemporary&quot;:false}]},{&quot;citationID&quot;:&quot;MENDELEY_CITATION_830f9b2f-625b-4c48-af87-782181071547&quot;,&quot;properties&quot;:{&quot;noteIndex&quot;:0},&quot;isEdited&quot;:false,&quot;manualOverride&quot;:{&quot;isManuallyOverridden&quot;:false,&quot;citeprocText&quot;:&quot;(Santamaría, 2019)&quot;,&quot;manualOverrideText&quot;:&quot;&quot;},&quot;citationTag&quot;:&quot;MENDELEY_CITATION_v3_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&quot;,&quot;citationItems&quot;:[{&quot;id&quot;:&quot;7c12f67a-c73b-3653-b23c-d5a9ee0f0bbf&quot;,&quot;itemData&quot;:{&quot;type&quot;:&quot;article-journal&quot;,&quot;id&quot;:&quot;7c12f67a-c73b-3653-b23c-d5a9ee0f0bbf&quot;,&quot;title&quot;:&quot;Megaprojects, Development and Competitiveness: Building the Infrastructure for Globalization and Neoliberalism&quot;,&quot;author&quot;:[{&quot;family&quot;:&quot;Santamaría&quot;,&quot;given&quot;:&quot;Gerardo del Cerro&quot;,&quot;parse-names&quot;:false,&quot;dropping-particle&quot;:&quot;&quot;,&quot;non-dropping-particle&quot;:&quot;&quot;}],&quot;container-title&quot;:&quot;Athens Journal of Social Sciences&quot;,&quot;DOI&quot;:&quot;10.30958/ajss.6-4-1&quot;,&quot;URL&quot;:&quot;files/902/Gerardo del Cerro Santamaría - 2019 - Megaprojects, Development and Competitiveness Bui.pdf&quot;,&quot;issued&quot;:{&quot;date-parts&quot;:[[2019]]},&quot;container-title-short&quot;:&quot;&quot;},&quot;isTemporary&quot;:false}]},{&quot;citationID&quot;:&quot;MENDELEY_CITATION_b64b24bc-5b16-4a4f-a3a9-520ac9242ad0&quot;,&quot;properties&quot;:{&quot;noteIndex&quot;:0},&quot;isEdited&quot;:false,&quot;manualOverride&quot;:{&quot;isManuallyOverridden&quot;:false,&quot;citeprocText&quot;:&quot;(Perić and D’hondt, 2020)&quot;,&quot;manualOverrideText&quot;:&quot;&quot;},&quot;citationTag&quot;:&quot;MENDELEY_CITATION_v3_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&quot;,&quot;citationItems&quot;:[{&quot;id&quot;:&quot;a4901c3a-f9bb-3050-996d-c4ddfee1f2b1&quot;,&quot;itemData&quot;:{&quot;type&quot;:&quot;article-journal&quot;,&quot;id&quot;:&quot;a4901c3a-f9bb-3050-996d-c4ddfee1f2b1&quot;,&quot;title&quot;:&quot;Squandering the Territorial Capital in the Balkans? Urban Megaprojects Between Global Trends and Local Incentives&quot;,&quot;author&quot;:[{&quot;family&quot;:&quot;Perić&quot;,&quot;given&quot;:&quot;Ana&quot;,&quot;parse-names&quot;:false,&quot;dropping-particle&quot;:&quot;&quot;,&quot;non-dropping-particle&quot;:&quot;&quot;},{&quot;family&quot;:&quot;D’hondt&quot;,&quot;given&quot;:&quot;Frank&quot;,&quot;parse-names&quot;:false,&quot;dropping-particle&quot;:&quot;&quot;,&quot;non-dropping-particle&quot;:&quot;&quot;}],&quot;container-title&quot;:&quot;Urban Design International&quot;,&quot;DOI&quot;:&quot;10.1057/s41289-020-00146-2&quot;,&quot;URL&quot;:&quot;files/905/Ana Perić and Frank D’hondt - 2020 - Squandering the Territorial Capital in the Balkans.pdf&quot;,&quot;issued&quot;:{&quot;date-parts&quot;:[[2020]]},&quot;container-title-short&quot;:&quot;&quot;},&quot;isTemporary&quot;:false}]},{&quot;citationID&quot;:&quot;MENDELEY_CITATION_5c200ae6-9a5a-4c84-b47d-096c70c29f29&quot;,&quot;properties&quot;:{&quot;noteIndex&quot;:0},&quot;isEdited&quot;:false,&quot;manualOverride&quot;:{&quot;isManuallyOverridden&quot;:false,&quot;citeprocText&quot;:&quot;(Parker and Simpson, 2020)&quot;,&quot;manualOverrideText&quot;:&quot;&quot;},&quot;citationTag&quot;:&quot;MENDELEY_CITATION_v3_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&quot;,&quot;citationItems&quot;:[{&quot;id&quot;:&quot;c9648e64-1b2e-356c-a537-7425a4f5fa3b&quot;,&quot;itemData&quot;:{&quot;type&quot;:&quot;article-journal&quot;,&quot;id&quot;:&quot;c9648e64-1b2e-356c-a537-7425a4f5fa3b&quot;,&quot;title&quot;:&quot;A Theoretical Framework for Bolstering Human-Nature Connections and Urban Resilience via Green Infrastructure&quot;,&quot;author&quot;:[{&quot;family&quot;:&quot;Parker&quot;,&quot;given&quot;:&quot;Jackie&quot;,&quot;parse-names&quot;:false,&quot;dropping-particle&quot;:&quot;&quot;,&quot;non-dropping-particle&quot;:&quot;&quot;},{&quot;family&quot;:&quot;Simpson&quot;,&quot;given&quot;:&quot;Greg D&quot;,&quot;parse-names&quot;:false,&quot;dropping-particle&quot;:&quot;&quot;,&quot;non-dropping-particle&quot;:&quot;&quot;}],&quot;container-title&quot;:&quot;Land&quot;,&quot;container-title-short&quot;:&quot;Land (Basel)&quot;,&quot;DOI&quot;:&quot;10.3390/land9080252&quot;,&quot;URL&quot;:&quot;files/894/Jackie Parker and Greg D. Simpson - 2020 - A Theoretical Framework for Bolstering Human-Natur.pdf&quot;,&quot;issued&quot;:{&quot;date-parts&quot;:[[2020]]}},&quot;isTemporary&quot;:false}]},{&quot;citationID&quot;:&quot;MENDELEY_CITATION_a2c0e225-788c-44e2-a786-0c3ca96b6384&quot;,&quot;properties&quot;:{&quot;noteIndex&quot;:0},&quot;isEdited&quot;:false,&quot;manualOverride&quot;:{&quot;isManuallyOverridden&quot;:true,&quot;citeprocText&quot;:&quot;(Swyngedouw, Moulaert and Arantxa, 2002; Perić, 2019)&quot;,&quot;manualOverrideText&quot;:&quot;(Swyngedouw, Moulaert, and Arantxa, 2002; Perić, 2019)&quot;},&quot;citationTag&quot;:&quot;MENDELEY_CITATION_v3_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&quot;,&quot;citationItems&quot;:[{&quot;id&quot;:&quot;e2995e08-f8f9-3e92-af02-dcdf0689a46b&quot;,&quot;itemData&quot;:{&quot;type&quot;:&quot;article-journal&quot;,&quot;id&quot;:&quot;e2995e08-f8f9-3e92-af02-dcdf0689a46b&quot;,&quot;title&quot;:&quot;Public Engagement Under Authoritarian Entrepreneurialism: The Belgrade Waterfront Project&quot;,&quot;author&quot;:[{&quot;family&quot;:&quot;Perić&quot;,&quot;given&quot;:&quot;Ana&quot;,&quot;parse-names&quot;:false,&quot;dropping-particle&quot;:&quot;&quot;,&quot;non-dropping-particle&quot;:&quot;&quot;}],&quot;container-title&quot;:&quot;Urban Research &amp;Amp; Practice&quot;,&quot;DOI&quot;:&quot;10.1080/17535069.2019.1670469&quot;,&quot;URL&quot;:&quot;files/904/Ana Perić - 2019 - Public Engagement Under Authoritarian Entrepreneur.pdf&quot;,&quot;issued&quot;:{&quot;date-parts&quot;:[[2019]]},&quot;container-title-short&quot;:&quot;&quot;},&quot;isTemporary&quot;:false},{&quot;id&quot;:&quot;016f1b4d-6ec7-3bc3-88c0-2715d0913693&quot;,&quot;itemData&quot;:{&quot;type&quot;:&quot;article-journal&quot;,&quot;id&quot;:&quot;016f1b4d-6ec7-3bc3-88c0-2715d0913693&quot;,&quot;title&quot;:&quot;New Geographies of Power, Exclusion and Injustice Neoliberal Urbanization in Europe : Large-Scale Urban Development Projects and the New Urban Policy&quot;,&quot;author&quot;:[{&quot;family&quot;:&quot;Swyngedouw&quot;,&quot;given&quot;:&quot;Erik&quot;,&quot;parse-names&quot;:false,&quot;dropping-particle&quot;:&quot;&quot;,&quot;non-dropping-particle&quot;:&quot;&quot;},{&quot;family&quot;:&quot;Moulaert&quot;,&quot;given&quot;:&quot;Frank&quot;,&quot;parse-names&quot;:false,&quot;dropping-particle&quot;:&quot;&quot;,&quot;non-dropping-particle&quot;:&quot;&quot;},{&quot;family&quot;:&quot;Arantxa&quot;,&quot;given&quot;:&quot;Rodriguez&quot;,&quot;parse-names&quot;:false,&quot;dropping-particle&quot;:&quot;&quot;,&quot;non-dropping-particle&quot;:&quot;&quot;}],&quot;container-title&quot;:&quot;Antipode&quot;,&quot;container-title-short&quot;:&quot;Antipode&quot;,&quot;ISSN&quot;:&quot;0066-4812&quot;,&quot;URL&quot;:&quot;files/1630/1467-8330.00254 (1).pdf&quot;,&quot;issued&quot;:{&quot;date-parts&quot;:[[2002]]},&quot;page&quot;:&quot;542-577&quot;,&quot;abstract&quot;:&quot;This paper summarizes the theoretical insights drawn from a study of thirteen large- scale urban development projects (UDPs) in twelve European Union countries. The project focused on the way in which globalization and liberalization articulate with the emergence of new forms of governance, on the formation of a new scalar gestalt of governing and on the relationship between large-scale urban development and political, social and economic power relations in the city. Among the most important conclusions, we found that: Large-scale UDPs have increasingly been used as a vehicle to establish exceptionality measures in planning and policy procedures. This is part of a neoliberal New Urban Policy approach and its selective middle- and upper- class democracy. It is associated with new forms of governing urban inter- ventions, characterized by less democratic and more elite-driven priorities. Local democratic participation mechanisms are not respected or are applied in a very formalist way, resulting in a new choreography of elite power. However, grassroots movements occasionally manage to turn the course of events in favor of local participation and of modest social returns for deprived social groups. The UDPs are poorly integrated at best into the wider urban process and planning system. As a consequence, their impact on a city as a whole and on the areas where the projects are located remains ambiguous. Most UDPs accentuate socioeconomic polarization through the working of real-estate markets (price rises and displacement of social or low-income housing), changes in the priorities of public budgets that are increasingly redirected from social objectives to investments in the built environment and the restructuring of the labor market. The UDPs reflect and embody a series of processes that are associated with changing spatial scales of governance; these changes, in turn, reflect a shifting geometry of power in the governing of urbanization.&quot;,&quot;volume&quot;:&quot;34&quot;},&quot;isTemporary&quot;:false}]},{&quot;citationID&quot;:&quot;MENDELEY_CITATION_385f0bdb-e166-4332-9ad8-4110f566e9cb&quot;,&quot;properties&quot;:{&quot;noteIndex&quot;:0},&quot;isEdited&quot;:false,&quot;manualOverride&quot;:{&quot;isManuallyOverridden&quot;:false,&quot;citeprocText&quot;:&quot;(Majoor, 2006; Santamaría, 2019)&quot;,&quot;manualOverrideText&quot;:&quot;&quot;},&quot;citationTag&quot;:&quot;MENDELEY_CITATION_v3_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&quot;,&quot;citationItems&quot;:[{&quot;id&quot;:&quot;7c12f67a-c73b-3653-b23c-d5a9ee0f0bbf&quot;,&quot;itemData&quot;:{&quot;type&quot;:&quot;article-journal&quot;,&quot;id&quot;:&quot;7c12f67a-c73b-3653-b23c-d5a9ee0f0bbf&quot;,&quot;title&quot;:&quot;Megaprojects, Development and Competitiveness: Building the Infrastructure for Globalization and Neoliberalism&quot;,&quot;author&quot;:[{&quot;family&quot;:&quot;Santamaría&quot;,&quot;given&quot;:&quot;Gerardo del Cerro&quot;,&quot;parse-names&quot;:false,&quot;dropping-particle&quot;:&quot;&quot;,&quot;non-dropping-particle&quot;:&quot;&quot;}],&quot;container-title&quot;:&quot;Athens Journal of Social Sciences&quot;,&quot;DOI&quot;:&quot;10.30958/ajss.6-4-1&quot;,&quot;URL&quot;:&quot;files/902/Gerardo del Cerro Santamaría - 2019 - Megaprojects, Development and Competitiveness Bui.pdf&quot;,&quot;issued&quot;:{&quot;date-parts&quot;:[[2019]]},&quot;container-title-short&quot;:&quot;&quot;},&quot;isTemporary&quot;:false},{&quot;id&quot;:&quot;e41b6566-b945-31da-9537-45d2018de8fa&quot;,&quot;itemData&quot;:{&quot;type&quot;:&quot;article-journal&quot;,&quot;id&quot;:&quot;e41b6566-b945-31da-9537-45d2018de8fa&quot;,&quot;title&quot;:&quot;Conditions for multiple land use in large-scale urban projects&quot;,&quot;author&quot;:[{&quot;family&quot;:&quot;Majoor&quot;,&quot;given&quot;:&quot;Stan&quot;,&quot;parse-names&quot;:false,&quot;dropping-particle&quot;:&quot;&quot;,&quot;non-dropping-particle&quot;:&quot;&quot;}],&quot;container-title&quot;:&quot;Journal of Housing and the Built Environment&quot;,&quot;DOI&quot;:&quot;10.1007/s10901-005-9030-5&quot;,&quot;ISSN&quot;:&quot;15664910&quot;,&quot;URL&quot;:&quot;files/1589/Conditions_for_multiple_land_u.pdf&quot;,&quot;issued&quot;:{&quot;date-parts&quot;:[[2006]]},&quot;page&quot;:&quot;15-32&quot;,&quot;abstract&quot;:&quot;The implementation of concepts of multiple land use seems to be relevant in the context of large-scale urban projects, which are now predominately monofunctional. However, current governance settings at these projects seem to be unreceptive to this new planning concept. Our in-depth case study of the South Axis project in Amsterdam embraces an actor-centred institutional perspective and seeks to understand how more receptive conditions for norm alignment between key actors can be attained. We reconstruct the introduction of quite radical concepts of multiple land use in this project, which started as an office-development proposal. The implementation was severely hampered by the fact that ambitions were formed in a rather introvert local government business setting. Only in the last stage, with the adoption of a more extrovert mode of governance that included a variety of national government departments, were more receptive conditions for multiple land use created. © Springer Science+Business Media, Inc. 2006.&quot;,&quot;issue&quot;:&quot;1&quot;,&quot;volume&quot;:&quot;21&quot;,&quot;container-title-short&quot;:&quot;&quot;},&quot;isTemporary&quot;:false}]},{&quot;citationID&quot;:&quot;MENDELEY_CITATION_759d9d54-f5f5-42cd-86c7-e030ff5122d3&quot;,&quot;properties&quot;:{&quot;noteIndex&quot;:0},&quot;isEdited&quot;:false,&quot;manualOverride&quot;:{&quot;isManuallyOverridden&quot;:false,&quot;citeprocText&quot;:&quot;(Searle and Legacy, 2019)&quot;,&quot;manualOverrideText&quot;:&quot;&quot;},&quot;citationTag&quot;:&quot;MENDELEY_CITATION_v3_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&quot;,&quot;citationItems&quot;:[{&quot;id&quot;:&quot;782cff87-4721-3e20-8d85-88e327fa0f75&quot;,&quot;itemData&quot;:{&quot;type&quot;:&quot;article-journal&quot;,&quot;id&quot;:&quot;782cff87-4721-3e20-8d85-88e327fa0f75&quot;,&quot;title&quot;:&quot;Australian Mega Transport Business Cases: Missing Costs and Benefits&quot;,&quot;author&quot;:[{&quot;family&quot;:&quot;Searle&quot;,&quot;given&quot;:&quot;Glen&quot;,&quot;parse-names&quot;:false,&quot;dropping-particle&quot;:&quot;&quot;,&quot;non-dropping-particle&quot;:&quot;&quot;},{&quot;family&quot;:&quot;Legacy&quot;,&quot;given&quot;:&quot;Crystal&quot;,&quot;parse-names&quot;:false,&quot;dropping-particle&quot;:&quot;&quot;,&quot;non-dropping-particle&quot;:&quot;&quot;}],&quot;container-title&quot;:&quot;Urban Policy and Research&quot;,&quot;DOI&quot;:&quot;10.1080/08111146.2019.1663727&quot;,&quot;ISSN&quot;:&quot;14767244&quot;,&quot;URL&quot;:&quot;https://doi.org/10.1080/08111146.2019.1663727&quot;,&quot;issued&quot;:{&quot;date-parts&quot;:[[2019]]},&quot;page&quot;:&quot;458-473&quot;,&quot;abstract&quot;:&quot;This paper uses business cases for three contemporary Australian mega transport proposals to examine the extent to which societal costs and benefits are properly evaluated in public investment decisions about such projects. It analyses project-related costs and benefits omitted or inadequately evaluated in the cost-benefit analyses of business cases for Stage 2 (the eastern section) of Melbourne’s East West Link tollroad, Sydney’s WestConnex tollroad, and Brisbane’s Cross River Rail. The omissions identified mean the rationale of business cases to reduce wasteful, politically-driven decisions is being lost. Instead, the omissions help business cases give ex post justification for decisions already made.&quot;,&quot;issue&quot;:&quot;4&quot;,&quot;volume&quot;:&quot;37&quot;,&quot;container-title-short&quot;:&quot;&quot;},&quot;isTemporary&quot;:false}]},{&quot;citationID&quot;:&quot;MENDELEY_CITATION_975438e8-4895-441b-984a-f283c17d34b1&quot;,&quot;properties&quot;:{&quot;noteIndex&quot;:0},&quot;isEdited&quot;:false,&quot;manualOverride&quot;:{&quot;isManuallyOverridden&quot;:false,&quot;citeprocText&quot;:&quot;(Banister and Thurstain-Goodwin, 2011; Searle and Legacy, 2019)&quot;,&quot;manualOverrideText&quot;:&quot;&quot;},&quot;citationTag&quot;:&quot;MENDELEY_CITATION_v3_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&quot;,&quot;citationItems&quot;:[{&quot;id&quot;:&quot;782cff87-4721-3e20-8d85-88e327fa0f75&quot;,&quot;itemData&quot;:{&quot;type&quot;:&quot;article-journal&quot;,&quot;id&quot;:&quot;782cff87-4721-3e20-8d85-88e327fa0f75&quot;,&quot;title&quot;:&quot;Australian Mega Transport Business Cases: Missing Costs and Benefits&quot;,&quot;author&quot;:[{&quot;family&quot;:&quot;Searle&quot;,&quot;given&quot;:&quot;Glen&quot;,&quot;parse-names&quot;:false,&quot;dropping-particle&quot;:&quot;&quot;,&quot;non-dropping-particle&quot;:&quot;&quot;},{&quot;family&quot;:&quot;Legacy&quot;,&quot;given&quot;:&quot;Crystal&quot;,&quot;parse-names&quot;:false,&quot;dropping-particle&quot;:&quot;&quot;,&quot;non-dropping-particle&quot;:&quot;&quot;}],&quot;container-title&quot;:&quot;Urban Policy and Research&quot;,&quot;DOI&quot;:&quot;10.1080/08111146.2019.1663727&quot;,&quot;ISSN&quot;:&quot;14767244&quot;,&quot;URL&quot;:&quot;https://doi.org/10.1080/08111146.2019.1663727&quot;,&quot;issued&quot;:{&quot;date-parts&quot;:[[2019]]},&quot;page&quot;:&quot;458-473&quot;,&quot;abstract&quot;:&quot;This paper uses business cases for three contemporary Australian mega transport proposals to examine the extent to which societal costs and benefits are properly evaluated in public investment decisions about such projects. It analyses project-related costs and benefits omitted or inadequately evaluated in the cost-benefit analyses of business cases for Stage 2 (the eastern section) of Melbourne’s East West Link tollroad, Sydney’s WestConnex tollroad, and Brisbane’s Cross River Rail. The omissions identified mean the rationale of business cases to reduce wasteful, politically-driven decisions is being lost. Instead, the omissions help business cases give ex post justification for decisions already made.&quot;,&quot;issue&quot;:&quot;4&quot;,&quot;volume&quot;:&quot;37&quot;,&quot;container-title-short&quot;:&quot;&quot;},&quot;isTemporary&quot;:false},{&quot;id&quot;:&quot;ad138c9c-3c97-38e6-ba50-bd6ee1d32d95&quot;,&quot;itemData&quot;:{&quot;type&quot;:&quot;article-journal&quot;,&quot;id&quot;:&quot;ad138c9c-3c97-38e6-ba50-bd6ee1d32d95&quot;,&quot;title&quot;:&quot;Quantification of the non-transport benefits resulting from rail investment&quot;,&quot;author&quot;:[{&quot;family&quot;:&quot;Banister&quot;,&quot;given&quot;:&quot;David&quot;,&quot;parse-names&quot;:false,&quot;dropping-particle&quot;:&quot;&quot;,&quot;non-dropping-particle&quot;:&quot;&quot;},{&quot;family&quot;:&quot;Thurstain-Goodwin&quot;,&quot;given&quot;:&quot;Mark&quot;,&quot;parse-names&quot;:false,&quot;dropping-particle&quot;:&quot;&quot;,&quot;non-dropping-particle&quot;:&quot;&quot;}],&quot;container-title&quot;:&quot;Journal of Transport Geography&quot;,&quot;container-title-short&quot;:&quot;J Transp Geogr&quot;,&quot;DOI&quot;:&quot;https://doi.org/10.1016/j.jtrangeo.2010.05.001&quot;,&quot;ISSN&quot;:&quot;0966-6923&quot;,&quot;URL&quot;:&quot;https://www.sciencedirect.com/science/article/pii/S0966692310000712&quot;,&quot;issued&quot;:{&quot;date-parts&quot;:[[2011]]},&quot;page&quot;:&quot;212-223&quot;,&quot;abstract&quot;:&quot;Traditional methods of evaluation have not been very successful in accounting for non-transport benefits resulting from rail investments. But increasingly, these factors are becoming more important in well-developed transport networks, as the effects of additional links or capacity cannot be justified in transport terms alone. This paper brings together the evidence at three separate levels arguing that there are different impacts that must be investigated at different levels with appropriate methods. At the macroeconomic level, regional network effects can be identified, as can the impacts on the economy as measured through changes in output and productivity. At the meso level, the impacts relate more to agglomeration economies and labour market effects, with some additional network and environmental consequences. At the micro level, the impacts are determined by the land and property market effects. Examples of rail investment are given for each of the scales of analysis, and conclusions are drawn on the future directions and challenges for the quantification of both transport and non-transport benefits.&quot;,&quot;issue&quot;:&quot;2&quot;,&quot;volume&quot;:&quot;19&quot;},&quot;isTemporary&quot;:false}]},{&quot;citationID&quot;:&quot;MENDELEY_CITATION_71a7f0ae-95e2-495c-85b3-5f0972a23cd7&quot;,&quot;properties&quot;:{&quot;noteIndex&quot;:0},&quot;isEdited&quot;:false,&quot;manualOverride&quot;:{&quot;isManuallyOverridden&quot;:true,&quot;citeprocText&quot;:&quot;(Banister and Thurstain-Goodwin, 2011)&quot;,&quot;manualOverrideText&quot;:&quot;Banister and Thurstain-Goodwin (2011)&quot;},&quot;citationTag&quot;:&quot;MENDELEY_CITATION_v3_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&quot;,&quot;citationItems&quot;:[{&quot;id&quot;:&quot;ad138c9c-3c97-38e6-ba50-bd6ee1d32d95&quot;,&quot;itemData&quot;:{&quot;type&quot;:&quot;article-journal&quot;,&quot;id&quot;:&quot;ad138c9c-3c97-38e6-ba50-bd6ee1d32d95&quot;,&quot;title&quot;:&quot;Quantification of the non-transport benefits resulting from rail investment&quot;,&quot;author&quot;:[{&quot;family&quot;:&quot;Banister&quot;,&quot;given&quot;:&quot;David&quot;,&quot;parse-names&quot;:false,&quot;dropping-particle&quot;:&quot;&quot;,&quot;non-dropping-particle&quot;:&quot;&quot;},{&quot;family&quot;:&quot;Thurstain-Goodwin&quot;,&quot;given&quot;:&quot;Mark&quot;,&quot;parse-names&quot;:false,&quot;dropping-particle&quot;:&quot;&quot;,&quot;non-dropping-particle&quot;:&quot;&quot;}],&quot;container-title&quot;:&quot;Journal of Transport Geography&quot;,&quot;container-title-short&quot;:&quot;J Transp Geogr&quot;,&quot;DOI&quot;:&quot;https://doi.org/10.1016/j.jtrangeo.2010.05.001&quot;,&quot;ISSN&quot;:&quot;0966-6923&quot;,&quot;URL&quot;:&quot;https://www.sciencedirect.com/science/article/pii/S0966692310000712&quot;,&quot;issued&quot;:{&quot;date-parts&quot;:[[2011]]},&quot;page&quot;:&quot;212-223&quot;,&quot;abstract&quot;:&quot;Traditional methods of evaluation have not been very successful in accounting for non-transport benefits resulting from rail investments. But increasingly, these factors are becoming more important in well-developed transport networks, as the effects of additional links or capacity cannot be justified in transport terms alone. This paper brings together the evidence at three separate levels arguing that there are different impacts that must be investigated at different levels with appropriate methods. At the macroeconomic level, regional network effects can be identified, as can the impacts on the economy as measured through changes in output and productivity. At the meso level, the impacts relate more to agglomeration economies and labour market effects, with some additional network and environmental consequences. At the micro level, the impacts are determined by the land and property market effects. Examples of rail investment are given for each of the scales of analysis, and conclusions are drawn on the future directions and challenges for the quantification of both transport and non-transport benefits.&quot;,&quot;issue&quot;:&quot;2&quot;,&quot;volume&quot;:&quot;19&quot;},&quot;isTemporary&quot;:false}]},{&quot;citationID&quot;:&quot;MENDELEY_CITATION_1fd24b20-afab-49c8-8e3d-57a5818e9f61&quot;,&quot;properties&quot;:{&quot;noteIndex&quot;:0},&quot;isEdited&quot;:false,&quot;manualOverride&quot;:{&quot;isManuallyOverridden&quot;:true,&quot;citeprocText&quot;:&quot;(Banister and Thurstain-Goodwin, 2011)&quot;,&quot;manualOverrideText&quot;:&quot;(Banister and Thurstain-Goodwin 2011)&quot;},&quot;citationTag&quot;:&quot;MENDELEY_CITATION_v3_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&quot;,&quot;citationItems&quot;:[{&quot;id&quot;:&quot;ad138c9c-3c97-38e6-ba50-bd6ee1d32d95&quot;,&quot;itemData&quot;:{&quot;type&quot;:&quot;article-journal&quot;,&quot;id&quot;:&quot;ad138c9c-3c97-38e6-ba50-bd6ee1d32d95&quot;,&quot;title&quot;:&quot;Quantification of the non-transport benefits resulting from rail investment&quot;,&quot;author&quot;:[{&quot;family&quot;:&quot;Banister&quot;,&quot;given&quot;:&quot;David&quot;,&quot;parse-names&quot;:false,&quot;dropping-particle&quot;:&quot;&quot;,&quot;non-dropping-particle&quot;:&quot;&quot;},{&quot;family&quot;:&quot;Thurstain-Goodwin&quot;,&quot;given&quot;:&quot;Mark&quot;,&quot;parse-names&quot;:false,&quot;dropping-particle&quot;:&quot;&quot;,&quot;non-dropping-particle&quot;:&quot;&quot;}],&quot;container-title&quot;:&quot;Journal of Transport Geography&quot;,&quot;container-title-short&quot;:&quot;J Transp Geogr&quot;,&quot;DOI&quot;:&quot;https://doi.org/10.1016/j.jtrangeo.2010.05.001&quot;,&quot;ISSN&quot;:&quot;0966-6923&quot;,&quot;URL&quot;:&quot;https://www.sciencedirect.com/science/article/pii/S0966692310000712&quot;,&quot;issued&quot;:{&quot;date-parts&quot;:[[2011]]},&quot;page&quot;:&quot;212-223&quot;,&quot;abstract&quot;:&quot;Traditional methods of evaluation have not been very successful in accounting for non-transport benefits resulting from rail investments. But increasingly, these factors are becoming more important in well-developed transport networks, as the effects of additional links or capacity cannot be justified in transport terms alone. This paper brings together the evidence at three separate levels arguing that there are different impacts that must be investigated at different levels with appropriate methods. At the macroeconomic level, regional network effects can be identified, as can the impacts on the economy as measured through changes in output and productivity. At the meso level, the impacts relate more to agglomeration economies and labour market effects, with some additional network and environmental consequences. At the micro level, the impacts are determined by the land and property market effects. Examples of rail investment are given for each of the scales of analysis, and conclusions are drawn on the future directions and challenges for the quantification of both transport and non-transport benefits.&quot;,&quot;issue&quot;:&quot;2&quot;,&quot;volume&quot;:&quot;19&quot;},&quot;isTemporary&quot;:false}]},{&quot;citationID&quot;:&quot;MENDELEY_CITATION_6560f52d-a6f2-45c4-8756-bbacff8e636f&quot;,&quot;properties&quot;:{&quot;noteIndex&quot;:0},&quot;isEdited&quot;:false,&quot;manualOverride&quot;:{&quot;isManuallyOverridden&quot;:false,&quot;citeprocText&quot;:&quot;(Banister and Thurstain-Goodwin, 2011)&quot;,&quot;manualOverrideText&quot;:&quot;&quot;},&quot;citationTag&quot;:&quot;MENDELEY_CITATION_v3_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&quot;,&quot;citationItems&quot;:[{&quot;id&quot;:&quot;ad138c9c-3c97-38e6-ba50-bd6ee1d32d95&quot;,&quot;itemData&quot;:{&quot;type&quot;:&quot;article-journal&quot;,&quot;id&quot;:&quot;ad138c9c-3c97-38e6-ba50-bd6ee1d32d95&quot;,&quot;title&quot;:&quot;Quantification of the non-transport benefits resulting from rail investment&quot;,&quot;author&quot;:[{&quot;family&quot;:&quot;Banister&quot;,&quot;given&quot;:&quot;David&quot;,&quot;parse-names&quot;:false,&quot;dropping-particle&quot;:&quot;&quot;,&quot;non-dropping-particle&quot;:&quot;&quot;},{&quot;family&quot;:&quot;Thurstain-Goodwin&quot;,&quot;given&quot;:&quot;Mark&quot;,&quot;parse-names&quot;:false,&quot;dropping-particle&quot;:&quot;&quot;,&quot;non-dropping-particle&quot;:&quot;&quot;}],&quot;container-title&quot;:&quot;Journal of Transport Geography&quot;,&quot;container-title-short&quot;:&quot;J Transp Geogr&quot;,&quot;DOI&quot;:&quot;https://doi.org/10.1016/j.jtrangeo.2010.05.001&quot;,&quot;ISSN&quot;:&quot;0966-6923&quot;,&quot;URL&quot;:&quot;https://www.sciencedirect.com/science/article/pii/S0966692310000712&quot;,&quot;issued&quot;:{&quot;date-parts&quot;:[[2011]]},&quot;page&quot;:&quot;212-223&quot;,&quot;abstract&quot;:&quot;Traditional methods of evaluation have not been very successful in accounting for non-transport benefits resulting from rail investments. But increasingly, these factors are becoming more important in well-developed transport networks, as the effects of additional links or capacity cannot be justified in transport terms alone. This paper brings together the evidence at three separate levels arguing that there are different impacts that must be investigated at different levels with appropriate methods. At the macroeconomic level, regional network effects can be identified, as can the impacts on the economy as measured through changes in output and productivity. At the meso level, the impacts relate more to agglomeration economies and labour market effects, with some additional network and environmental consequences. At the micro level, the impacts are determined by the land and property market effects. Examples of rail investment are given for each of the scales of analysis, and conclusions are drawn on the future directions and challenges for the quantification of both transport and non-transport benefits.&quot;,&quot;issue&quot;:&quot;2&quot;,&quot;volume&quot;:&quot;19&quot;},&quot;isTemporary&quot;:false}]},{&quot;citationID&quot;:&quot;MENDELEY_CITATION_1a2275c6-516d-422f-b72a-df4f18ed27df&quot;,&quot;properties&quot;:{&quot;noteIndex&quot;:0},&quot;isEdited&quot;:false,&quot;manualOverride&quot;:{&quot;isManuallyOverridden&quot;:false,&quot;citeprocText&quot;:&quot;(Harris, 2016, 2017)&quot;,&quot;manualOverrideText&quot;:&quot;&quot;},&quot;citationTag&quot;:&quot;MENDELEY_CITATION_v3_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&quot;,&quot;citationItems&quot;:[{&quot;id&quot;:&quot;8c1b99b3-f106-3e05-bd23-f0fb195e5f32&quot;,&quot;itemData&quot;:{&quot;type&quot;:&quot;chapter&quot;,&quot;id&quot;:&quot;8c1b99b3-f106-3e05-bd23-f0fb195e5f32&quot;,&quot;title&quot;:&quot;Barangaroo: Machiavellian megaproject or erosion of intent?&quot;,&quot;author&quot;:[{&quot;family&quot;:&quot;Harris&quot;,&quot;given&quot;:&quot;Mike&quot;,&quot;parse-names&quot;:false,&quot;dropping-particle&quot;:&quot;&quot;,&quot;non-dropping-particle&quot;:&quot;&quot;}],&quot;container-title&quot;:&quot;Urban Regeneration in Australia: Policies, Processes and Projects of Contemporary Urban Change&quot;,&quot;ISBN&quot;:&quot;978-1-317-00349-6 978-1-4724-7163-5&quot;,&quot;issued&quot;:{&quot;date-parts&quot;:[[2016]]},&quot;page&quot;:&quot;111-134&quot;,&quot;publisher&quot;:&quot;Taylor and Francis&quot;,&quot;container-title-short&quot;:&quot;&quot;},&quot;isTemporary&quot;:false},{&quot;id&quot;:&quot;4e901afe-e42d-3a41-b452-d1461d49c4bb&quot;,&quot;itemData&quot;:{&quot;type&quot;:&quot;article-journal&quot;,&quot;id&quot;:&quot;4e901afe-e42d-3a41-b452-d1461d49c4bb&quot;,&quot;title&quot;:&quot;Competitive Precinct Projects: The Five Consistent Criticisms of “Global” Mixed-Use Megaprojects&quot;,&quot;author&quot;:[{&quot;family&quot;:&quot;Harris&quot;,&quot;given&quot;:&quot;Mike&quot;,&quot;parse-names&quot;:false,&quot;dropping-particle&quot;:&quot;&quot;,&quot;non-dropping-particle&quot;:&quot;&quot;}],&quot;container-title&quot;:&quot;Project Management Journal&quot;,&quot;DOI&quot;:&quot;10.1177/875697281704800607&quot;,&quot;ISSN&quot;:&quot;19389507&quot;,&quot;URL&quot;:&quot;files/1414/875697281704800607.pdf&quot;,&quot;issued&quot;:{&quot;date-parts&quot;:[[2017]]},&quot;page&quot;:&quot;76-92&quot;,&quot;abstract&quot;:&quot;Mixed-use megaprojects on state-owned land have been increasingly occurring around the world over the past few decades. This article reviews the body of literature that has emerged on these projects during this period and investigates a number of projects more deeply by reviewing original planning documents and undertaking interviews with government officials, consultants, and other insiders. Project motives, delivery methods, and built outcomes have been examined in order to contextualize their emergence and proliferation, leading to a typological understanding, defined in this article as competitive precinct projects. A content analysis of 30 reviews covering 42 mixed-use megaprojects in 20 countries reveals remarkable global consistency in thematic criticisms. Framed in this article as the “five consistent criticisms of ‘global’ mixed-use megaprojects,” they pose a significant barrier to addressing increasingly complex urban challenges as well as to their successful management from inception to delivery. While the consistent criticisms represent patterns that have endured within a globally active urban development type for over three decades, this research shows that rather than being a neoliberal hegemony, there are mixed political and ideological aims and outcomes across projects and sometimes within the same project. A typological understanding allows patterns to be examined and understood, variances and hybridity to be evaluated, and more sophisticated future directions to be mapped out in the pursuit of broader based and city-scale project outcomes.&quot;,&quot;issue&quot;:&quot;6&quot;,&quot;volume&quot;:&quot;48&quot;,&quot;container-title-short&quot;:&quot;&quot;},&quot;isTemporary&quot;:false}]},{&quot;citationID&quot;:&quot;MENDELEY_CITATION_ea2a1d2f-1fb2-42c1-82e5-3a50ce6e5e40&quot;,&quot;properties&quot;:{&quot;noteIndex&quot;:0},&quot;isEdited&quot;:false,&quot;manualOverride&quot;:{&quot;isManuallyOverridden&quot;:false,&quot;citeprocText&quot;:&quot;(Herath and Jayasekare, 2021)&quot;,&quot;manualOverrideText&quot;:&quot;&quot;},&quot;citationTag&quot;:&quot;MENDELEY_CITATION_v3_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&quot;,&quot;citationItems&quot;:[{&quot;id&quot;:&quot;25a95ff7-f15e-30c6-aa70-c02fcdf96c99&quot;,&quot;itemData&quot;:{&quot;type&quot;:&quot;article-journal&quot;,&quot;id&quot;:&quot;25a95ff7-f15e-30c6-aa70-c02fcdf96c99&quot;,&quot;title&quot;:&quot;City proximity, travel modes and house prices: the three cities in Sydney&quot;,&quot;author&quot;:[{&quot;family&quot;:&quot;Herath&quot;,&quot;given&quot;:&quot;Shanaka&quot;,&quot;parse-names&quot;:false,&quot;dropping-particle&quot;:&quot;&quot;,&quot;non-dropping-particle&quot;:&quot;&quot;},{&quot;family&quot;:&quot;Jayasekare&quot;,&quot;given&quot;:&quot;Ajith Shamila&quot;,&quot;parse-names&quot;:false,&quot;dropping-particle&quot;:&quot;&quot;,&quot;non-dropping-particle&quot;:&quot;&quot;}],&quot;container-title&quot;:&quot;Journal of Housing and the Built Environment&quot;,&quot;accessed&quot;:{&quot;date-parts&quot;:[[2022,8,7]]},&quot;DOI&quot;:&quot;10.1007/S10901-020-09805-W&quot;,&quot;ISSN&quot;:&quot;15737772&quot;,&quot;issued&quot;:{&quot;date-parts&quot;:[[2021,6,1]]},&quot;page&quot;:&quot;407-431&quot;,&quot;abstract&quot;:&quot;House prices are partly explained by proximity to the urban centre. Generally, and for simplicity, proximity is measured via straight-line distance (i.e., ‘as the crow flies’). However, distance between two points in space can be mainly conceptualised in three ways—straight-line, road-network and travel time-related overland. Therefore, the particular distance measure that portrays ‘reality’ as closely as possible in a given study is context-specific. We examine the implications of using different distance measures when analysing house prices. This Sydney case study used spatial econometric techniques as a robust mechanism to compare different distance measures. The disaggregated analysis of the three city regions confirmed that distinct distance metrics have specific effects on house prices. Including in the modelling process how residents perceive and value their proximity seems to improve the accuracy of ‘city centre effects’. A separate section links these findings to prevalent travel modes in different parts of Sydney, and it suggests there are three different cities in Sydney in terms of residents’ willingness to pay to live close to the city centre and preferred travel modes. While we reveal how residents’ preferences for transport modes are reflected in house prices, we emphasise the need for specific types of transport infrastructure (e.g., roads, highways and footpaths) in given regions.&quot;,&quot;publisher&quot;:&quot;Springer Science and Business Media B.V.&quot;,&quot;issue&quot;:&quot;2&quot;,&quot;volume&quot;:&quot;36&quot;,&quot;container-title-short&quot;:&quot;&quot;},&quot;isTemporary&quot;:false}]},{&quot;citationID&quot;:&quot;MENDELEY_CITATION_64859051-7aae-4961-9bb9-bbfef479dc7d&quot;,&quot;properties&quot;:{&quot;noteIndex&quot;:0},&quot;isEdited&quot;:false,&quot;manualOverride&quot;:{&quot;isManuallyOverridden&quot;:true,&quot;citeprocText&quot;:&quot;(Lancaster, 1966)&quot;,&quot;manualOverrideText&quot;:&quot;Lancaster (1966)&quot;},&quot;citationTag&quot;:&quot;MENDELEY_CITATION_v3_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&quot;,&quot;citationItems&quot;:[{&quot;id&quot;:&quot;c4547f6d-c3cf-3023-9b5d-630a3cf1c19c&quot;,&quot;itemData&quot;:{&quot;type&quot;:&quot;article-journal&quot;,&quot;id&quot;:&quot;c4547f6d-c3cf-3023-9b5d-630a3cf1c19c&quot;,&quot;title&quot;:&quot;A New Approach to Consumer Theory&quot;,&quot;author&quot;:[{&quot;family&quot;:&quot;Lancaster&quot;,&quot;given&quot;:&quot;Kelvin J&quot;,&quot;parse-names&quot;:false,&quot;dropping-particle&quot;:&quot;&quot;,&quot;non-dropping-particle&quot;:&quot;&quot;}],&quot;container-title&quot;:&quot;The Journal of political economy&quot;,&quot;container-title-short&quot;:&quot;J Polit Econ&quot;,&quot;DOI&quot;:&quot;10.1086/259131&quot;,&quot;ISSN&quot;:&quot;0022-3808&quot;,&quot;issued&quot;:{&quot;date-parts&quot;:[[1966]]},&quot;publisher-place&quot;:&quot;CHICAGO&quot;,&quot;page&quot;:&quot;132-157&quot;,&quot;publisher&quot;:&quot;The University of Chicago Press&quot;,&quot;issue&quot;:&quot;2&quot;,&quot;volume&quot;:&quot;74&quot;},&quot;isTemporary&quot;:false}]},{&quot;citationID&quot;:&quot;MENDELEY_CITATION_7aca226c-99fa-4f74-a24b-a14a989aadf6&quot;,&quot;properties&quot;:{&quot;noteIndex&quot;:0},&quot;isEdited&quot;:false,&quot;manualOverride&quot;:{&quot;isManuallyOverridden&quot;:true,&quot;citeprocText&quot;:&quot;(Rosen, 1974)&quot;,&quot;manualOverrideText&quot;:&quot;Rosen (1974),&quot;},&quot;citationItems&quot;:[{&quot;id&quot;:&quot;03d1db1f-474e-3e26-90d9-bbd5a97f5e24&quot;,&quot;itemData&quot;:{&quot;type&quot;:&quot;article-journal&quot;,&quot;id&quot;:&quot;03d1db1f-474e-3e26-90d9-bbd5a97f5e24&quot;,&quot;title&quot;:&quot;Hedonic Prices and Implicit Markets : Product Differentiation in Pure Competition&quot;,&quot;author&quot;:[{&quot;family&quot;:&quot;Rosen&quot;,&quot;given&quot;:&quot;Sherwin&quot;,&quot;parse-names&quot;:false,&quot;dropping-particle&quot;:&quot;&quot;,&quot;non-dropping-particle&quot;:&quot;&quot;}],&quot;container-title&quot;:&quot;Journal of Political Economy&quot;,&quot;issued&quot;:{&quot;date-parts&quot;:[[1974]]},&quot;page&quot;:&quot;34-55&quot;,&quot;abstract&quot;:&quot;The University of Chicago Press&quot;,&quot;issue&quot;:&quot;1&quot;,&quot;volume&quot;:&quot;82&quot;},&quot;isTemporary&quot;:false}],&quot;citationTag&quot;:&quot;MENDELEY_CITATION_v3_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&quot;},{&quot;citationID&quot;:&quot;MENDELEY_CITATION_8a109aa1-c3a2-42ae-86d9-bc6f3aab1a5c&quot;,&quot;properties&quot;:{&quot;noteIndex&quot;:0},&quot;isEdited&quot;:false,&quot;manualOverride&quot;:{&quot;isManuallyOverridden&quot;:false,&quot;citeprocText&quot;:&quot;(Khoshnoud, Sirmans and Zietz, 2023)&quot;,&quot;manualOverrideText&quot;:&quot;&quot;},&quot;citationTag&quot;:&quot;MENDELEY_CITATION_v3_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&quot;,&quot;citationItems&quot;:[{&quot;id&quot;:&quot;6c786d79-b219-3370-be83-f688cdaef918&quot;,&quot;itemData&quot;:{&quot;type&quot;:&quot;article-journal&quot;,&quot;id&quot;:&quot;6c786d79-b219-3370-be83-f688cdaef918&quot;,&quot;title&quot;:&quot;The Evolution of Hedonic Pricing Models&quot;,&quot;author&quot;:[{&quot;family&quot;:&quot;Khoshnoud&quot;,&quot;given&quot;:&quot;Mahsa&quot;,&quot;parse-names&quot;:false,&quot;dropping-particle&quot;:&quot;&quot;,&quot;non-dropping-particle&quot;:&quot;&quot;},{&quot;family&quot;:&quot;Sirmans&quot;,&quot;given&quot;:&quot;G Stacy&quot;,&quot;parse-names&quot;:false,&quot;dropping-particle&quot;:&quot;&quot;,&quot;non-dropping-particle&quot;:&quot;&quot;},{&quot;family&quot;:&quot;Zietz&quot;,&quot;given&quot;:&quot;Emily N&quot;,&quot;parse-names&quot;:false,&quot;dropping-particle&quot;:&quot;&quot;,&quot;non-dropping-particle&quot;:&quot;&quot;}],&quot;container-title&quot;:&quot;Journal of real estate literature&quot;,&quot;DOI&quot;:&quot;10.1080/09277544.2023.2201020&quot;,&quot;ISSN&quot;:&quot;0927-7544&quot;,&quot;issued&quot;:{&quot;date-parts&quot;:[[2023]]},&quot;publisher-place&quot;:&quot;Clemson&quot;,&quot;page&quot;:&quot;1-47&quot;,&quot;abstract&quot;:&quot;This study extends the work by Sirmans et al. (2005) by providing a review of the hedonic pricing model literature published in real estate journals from 2005 through 2021. A total of 252 studies are reviewed with 150 of these being published in the top three traditional real estate journals: Journal of Real Estate Finance and Economics, Journal of Real Estate Research, and Real Estate Economics. An additional 42 papers are published in the housing-specific journal, Journal of Housing Research. A review shows that real estate research is global in both authorship and data usage, although most of the studies use U.S. data and are performed by U.S. researchers. In addition, real estate modeling is quite expansive, including spatial or geospatial autoregressive models, difference-in-difference models, quantile regression, and other advanced techniques.&quot;,&quot;publisher&quot;:&quot;Taylor &amp; Francis Ltd&quot;,&quot;issue&quot;:&quot;1&quot;,&quot;volume&quot;:&quot;31&quot;,&quot;container-title-short&quot;:&quot;&quot;},&quot;isTemporary&quot;:false}]},{&quot;citationID&quot;:&quot;MENDELEY_CITATION_3cfcab16-685c-43f9-bd2d-cc3e6996cad6&quot;,&quot;properties&quot;:{&quot;noteIndex&quot;:0},&quot;isEdited&quot;:false,&quot;manualOverride&quot;:{&quot;isManuallyOverridden&quot;:true,&quot;citeprocText&quot;:&quot;(McMillen, 1996)&quot;,&quot;manualOverrideText&quot;:&quot;(McMillen, 1996).&quot;},&quot;citationTag&quot;:&quot;MENDELEY_CITATION_v3_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&quot;,&quot;citationItems&quot;:[{&quot;id&quot;:&quot;e62fd08a-7dea-380a-bee2-acc14fdfb881&quot;,&quot;itemData&quot;:{&quot;type&quot;:&quot;article-journal&quot;,&quot;id&quot;:&quot;e62fd08a-7dea-380a-bee2-acc14fdfb881&quot;,&quot;title&quot;:&quot;One Hundred Fifty Years of Land Values in Chicago: A Nonparametric Approach&quot;,&quot;author&quot;:[{&quot;family&quot;:&quot;McMillen&quot;,&quot;given&quot;:&quot;Daniel P&quot;,&quot;parse-names&quot;:false,&quot;dropping-particle&quot;:&quot;&quot;,&quot;non-dropping-particle&quot;:&quot;&quot;}],&quot;container-title&quot;:&quot;Journal of urban economics&quot;,&quot;container-title-short&quot;:&quot;J Urban Econ&quot;,&quot;DOI&quot;:&quot;10.1006/juec.1996.0025&quot;,&quot;ISSN&quot;:&quot;0094-1190&quot;,&quot;issued&quot;:{&quot;date-parts&quot;:[[1996]]},&quot;publisher-place&quot;:&quot;SAN DIEGO&quot;,&quot;page&quot;:&quot;100-124&quot;,&quot;abstract&quot;:&quot;Locally weighted regression estimates are presented for Chicago using data from 1836 to 1990. The results demonstrate that nonparametric estimators are useful for hypothesis testing as well as prediction. Estimated regression surfaces for 1836–1928 demonstrate that the monocentric city model continues to adequately represent land values through the early 19th century, but only if the functional form is highly nonlinear. Estimates for 1960–1990 indicate that Chicago is no longer a monocentric city; O'Hare Airport is an important employment center and the blighted areas of the south and west sides have lower land values than the model predicts.&quot;,&quot;publisher&quot;:&quot;Elsevier Inc&quot;,&quot;issue&quot;:&quot;1&quot;,&quot;volume&quot;:&quot;40&quot;},&quot;isTemporary&quot;:false}]},{&quot;citationID&quot;:&quot;MENDELEY_CITATION_cc38ccf5-fd2e-4f4f-a197-4eae3b3be9f5&quot;,&quot;properties&quot;:{&quot;noteIndex&quot;:0},&quot;isEdited&quot;:false,&quot;manualOverride&quot;:{&quot;isManuallyOverridden&quot;:false,&quot;citeprocText&quot;:&quot;(Gibbons and Machin, 2005)&quot;,&quot;manualOverrideText&quot;:&quot;&quot;},&quot;citationTag&quot;:&quot;MENDELEY_CITATION_v3_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&quot;,&quot;citationItems&quot;:[{&quot;id&quot;:&quot;38b80edb-7bb3-36a9-a4da-2929ac86489d&quot;,&quot;itemData&quot;:{&quot;type&quot;:&quot;article-journal&quot;,&quot;id&quot;:&quot;38b80edb-7bb3-36a9-a4da-2929ac86489d&quot;,&quot;title&quot;:&quot;Valuing rail access using transport innovations&quot;,&quot;author&quot;:[{&quot;family&quot;:&quot;Gibbons&quot;,&quot;given&quot;:&quot;Stephen&quot;,&quot;parse-names&quot;:false,&quot;dropping-particle&quot;:&quot;&quot;,&quot;non-dropping-particle&quot;:&quot;&quot;},{&quot;family&quot;:&quot;Machin&quot;,&quot;given&quot;:&quot;Stephen&quot;,&quot;parse-names&quot;:false,&quot;dropping-particle&quot;:&quot;&quot;,&quot;non-dropping-particle&quot;:&quot;&quot;}],&quot;container-title&quot;:&quot;Journal of Urban Economics&quot;,&quot;container-title-short&quot;:&quot;J Urban Econ&quot;,&quot;DOI&quot;:&quot;10.1016/j.jue.2004.10.002&quot;,&quot;ISSN&quot;:&quot;00941190&quot;,&quot;issued&quot;:{&quot;date-parts&quot;:[[2005,1]]},&quot;page&quot;:&quot;148-169&quot;,&quot;abstract&quot;:&quot;This paper uses a powerful empirical method to evaluate the benefits of rail access to consumers. We study the effects on house prices of a transport innovation that altered the distance to the nearest station for some households, but left others unaffected. The transport innovation we study is the construction of new stations in London in the late 1990s. Using this innovation we implement a quasi-experimental approach that allows us to avoid the biases inherent in cross-sectional valuation work. Our evidence on distance-station effects on local prices, identified through distance changes induced by the transport innovation, suggests that households value rail access and that these valuations are large compared to the valuations of other local amenities. © 2004 Elsevier Inc. All rights reserved.&quot;,&quot;issue&quot;:&quot;1&quot;,&quot;volume&quot;:&quot;57&quot;},&quot;isTemporary&quot;:false}]},{&quot;citationID&quot;:&quot;MENDELEY_CITATION_fc795e11-e3a0-4e92-8d1e-e816a0ecc0b4&quot;,&quot;properties&quot;:{&quot;noteIndex&quot;:0},&quot;isEdited&quot;:false,&quot;manualOverride&quot;:{&quot;isManuallyOverridden&quot;:false,&quot;citeprocText&quot;:&quot;(Agostini and Palmucci, 2008)&quot;,&quot;manualOverrideText&quot;:&quot;&quot;},&quot;citationTag&quot;:&quot;MENDELEY_CITATION_v3_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&quot;,&quot;citationItems&quot;:[{&quot;id&quot;:&quot;12911146-cd00-3775-b104-03a1cc5c11f8&quot;,&quot;itemData&quot;:{&quot;type&quot;:&quot;article-journal&quot;,&quot;id&quot;:&quot;12911146-cd00-3775-b104-03a1cc5c11f8&quot;,&quot;title&quot;:&quot;The anticipated capitalisation effect of a new metro line on housing prices&quot;,&quot;author&quot;:[{&quot;family&quot;:&quot;Agostini&quot;,&quot;given&quot;:&quot;Claudio A.&quot;,&quot;parse-names&quot;:false,&quot;dropping-particle&quot;:&quot;&quot;,&quot;non-dropping-particle&quot;:&quot;&quot;},{&quot;family&quot;:&quot;Palmucci&quot;,&quot;given&quot;:&quot;Gastón A.&quot;,&quot;parse-names&quot;:false,&quot;dropping-particle&quot;:&quot;&quot;,&quot;non-dropping-particle&quot;:&quot;&quot;}],&quot;container-title&quot;:&quot;Fiscal Studies&quot;,&quot;container-title-short&quot;:&quot;Fisc Stud&quot;,&quot;DOI&quot;:&quot;10.1111/j.1475-5890.2008.00074.x&quot;,&quot;ISSN&quot;:&quot;01435671&quot;,&quot;issued&quot;:{&quot;date-parts&quot;:[[2008]]},&quot;page&quot;:&quot;233-256&quot;,&quot;abstract&quot;:&quot;Housing units with closer access to public transportation enjoy a higher market value than those with similar characteristics but poorer access. This difference can be explained by the lower cost of transport to the main workplaces and shopping areas in town. For this reason, investments in public transport infrastructure, such as building a new metro line, are capitalised totally or partially into land and housing prices. This work empirically analyses the degree of capitalisation into housing prices of the benefits of the new Line 4 of the Santiago metro system, which began operating in December 2005. We focus on anticipated capitalisation into housing prices at the moment construction of Line 4 was announced and at the moment information on the basic engineering project was unveiled, identifying the location of the future stations. We use a unique database containing all home buying and selling transactions in the Greater Santiago area between December 2000 and March 2004. The results show that the average apartment price rose by between 4.2 per cent and 7.9 per cent after construction was announced and by between 3.1 per cent and 5.5 per cent after the location of the stations was identified. These increases were not distributed evenly, but depended on the distance from the apartment to the nearest station. An indirect effect of this kind of capitalisation is that property tax collections will increase if property is reappraised following the price rise. This effect is not negligible in magnitude and could represent 11 to 17 per cent of investment in the new metro line. This raises an interesting discussion on how the metro network extension is financed. © Institute for Fiscal Studies, 2008.&quot;,&quot;issue&quot;:&quot;2&quot;,&quot;volume&quot;:&quot;29&quot;},&quot;isTemporary&quot;:false}]}]"/>
    <we:property name="MENDELEY_CITATIONS_LOCALE_CODE" value="&quot;en-GB&quot;"/>
    <we:property name="MENDELEY_CITATIONS_STYLE" value="{&quot;id&quot;:&quot;https://www.zotero.org/styles/harvard-cite-them-right&quot;,&quot;title&quot;:&quot;Cite Them Right 12th edition - Harvard&quot;,&quot;format&quot;:&quot;author-date&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8040551EFAC804B9DADC07607478640" ma:contentTypeVersion="16" ma:contentTypeDescription="Create a new document." ma:contentTypeScope="" ma:versionID="c41713732c9ef330b44293ffb29fe08d">
  <xsd:schema xmlns:xsd="http://www.w3.org/2001/XMLSchema" xmlns:xs="http://www.w3.org/2001/XMLSchema" xmlns:p="http://schemas.microsoft.com/office/2006/metadata/properties" xmlns:ns2="44653201-a7c7-41eb-9819-bac60e2251c1" xmlns:ns3="ba132822-e141-4b91-80ac-892a6aa6e99f" targetNamespace="http://schemas.microsoft.com/office/2006/metadata/properties" ma:root="true" ma:fieldsID="227e6ddf284ab1cbb74e360e66b75491" ns2:_="" ns3:_="">
    <xsd:import namespace="44653201-a7c7-41eb-9819-bac60e2251c1"/>
    <xsd:import namespace="ba132822-e141-4b91-80ac-892a6aa6e99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653201-a7c7-41eb-9819-bac60e2251c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5b42e877-32db-4a1b-a47f-737db3353e70}" ma:internalName="TaxCatchAll" ma:showField="CatchAllData" ma:web="44653201-a7c7-41eb-9819-bac60e2251c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a132822-e141-4b91-80ac-892a6aa6e99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5bfe85-00de-4328-b4b6-d402a660700b"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a132822-e141-4b91-80ac-892a6aa6e99f">
      <Terms xmlns="http://schemas.microsoft.com/office/infopath/2007/PartnerControls"/>
    </lcf76f155ced4ddcb4097134ff3c332f>
    <TaxCatchAll xmlns="44653201-a7c7-41eb-9819-bac60e2251c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5A4CC8-0CD9-4DA3-90E2-2660FB88FFE5}">
  <ds:schemaRefs>
    <ds:schemaRef ds:uri="http://schemas.openxmlformats.org/officeDocument/2006/bibliography"/>
  </ds:schemaRefs>
</ds:datastoreItem>
</file>

<file path=customXml/itemProps2.xml><?xml version="1.0" encoding="utf-8"?>
<ds:datastoreItem xmlns:ds="http://schemas.openxmlformats.org/officeDocument/2006/customXml" ds:itemID="{D986BEB4-F107-4DEC-ABD6-5689B1CF91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653201-a7c7-41eb-9819-bac60e2251c1"/>
    <ds:schemaRef ds:uri="ba132822-e141-4b91-80ac-892a6aa6e9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7B2E22-9C7D-4B5F-A727-1E1ABA6C13E9}">
  <ds:schemaRefs>
    <ds:schemaRef ds:uri="http://schemas.microsoft.com/office/2006/metadata/properties"/>
    <ds:schemaRef ds:uri="http://schemas.microsoft.com/office/infopath/2007/PartnerControls"/>
    <ds:schemaRef ds:uri="ba132822-e141-4b91-80ac-892a6aa6e99f"/>
    <ds:schemaRef ds:uri="44653201-a7c7-41eb-9819-bac60e2251c1"/>
  </ds:schemaRefs>
</ds:datastoreItem>
</file>

<file path=customXml/itemProps4.xml><?xml version="1.0" encoding="utf-8"?>
<ds:datastoreItem xmlns:ds="http://schemas.openxmlformats.org/officeDocument/2006/customXml" ds:itemID="{557E4C44-1483-4F82-97AA-588C5584FB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normal2.dot</Template>
  <TotalTime>20</TotalTime>
  <Pages>12</Pages>
  <Words>5272</Words>
  <Characters>30052</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Univeristy Of South Australia</Company>
  <LinksUpToDate>false</LinksUpToDate>
  <CharactersWithSpaces>35254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UniSA</dc:creator>
  <cp:lastModifiedBy>Connie Susilawati</cp:lastModifiedBy>
  <cp:revision>19</cp:revision>
  <cp:lastPrinted>2015-03-05T01:11:00Z</cp:lastPrinted>
  <dcterms:created xsi:type="dcterms:W3CDTF">2024-02-15T10:57:00Z</dcterms:created>
  <dcterms:modified xsi:type="dcterms:W3CDTF">2024-03-11T22:19:00Z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0x010100EAA1561C7AC61740AC0C42373ECAF626</vt:lpwstr>
  </property>
  <property fmtid="{D5CDD505-2E9C-101B-9397-08002B2CF9AE}" pid="3" name="MSIP_Label_51a6c3db-1667-4f49-995a-8b9973972958_Enabled">
    <vt:lpwstr>true</vt:lpwstr>
  </property>
  <property fmtid="{D5CDD505-2E9C-101B-9397-08002B2CF9AE}" pid="4" name="MSIP_Label_51a6c3db-1667-4f49-995a-8b9973972958_SetDate">
    <vt:lpwstr>2023-05-28T23:47:10Z</vt:lpwstr>
  </property>
  <property fmtid="{D5CDD505-2E9C-101B-9397-08002B2CF9AE}" pid="5" name="MSIP_Label_51a6c3db-1667-4f49-995a-8b9973972958_Method">
    <vt:lpwstr>Standard</vt:lpwstr>
  </property>
  <property fmtid="{D5CDD505-2E9C-101B-9397-08002B2CF9AE}" pid="6" name="MSIP_Label_51a6c3db-1667-4f49-995a-8b9973972958_Name">
    <vt:lpwstr>UTS-Internal</vt:lpwstr>
  </property>
  <property fmtid="{D5CDD505-2E9C-101B-9397-08002B2CF9AE}" pid="7" name="MSIP_Label_51a6c3db-1667-4f49-995a-8b9973972958_SiteId">
    <vt:lpwstr>e8911c26-cf9f-4a9c-878e-527807be8791</vt:lpwstr>
  </property>
  <property fmtid="{D5CDD505-2E9C-101B-9397-08002B2CF9AE}" pid="8" name="MSIP_Label_51a6c3db-1667-4f49-995a-8b9973972958_ActionId">
    <vt:lpwstr>0cd5ec3a-f975-4528-abea-4f2badefad64</vt:lpwstr>
  </property>
  <property fmtid="{D5CDD505-2E9C-101B-9397-08002B2CF9AE}" pid="9" name="MSIP_Label_51a6c3db-1667-4f49-995a-8b9973972958_ContentBits">
    <vt:lpwstr>0</vt:lpwstr>
  </property>
  <property fmtid="{D5CDD505-2E9C-101B-9397-08002B2CF9AE}" pid="10" name="ZOTERO_PREF_1">
    <vt:lpwstr>&lt;data data-version="3" zotero-version="6.0.26"&gt;&lt;session id="OVb7uPDI"/&gt;&lt;style id="http://www.zotero.org/styles/harvard-deakin-university" hasBibliography="1" bibliographyStyleHasBeenSet="1"/&gt;&lt;prefs&gt;&lt;pref name="fieldType" value="Field"/&gt;&lt;pref name="automat</vt:lpwstr>
  </property>
  <property fmtid="{D5CDD505-2E9C-101B-9397-08002B2CF9AE}" pid="11" name="ZOTERO_PREF_2">
    <vt:lpwstr>icJournalAbbreviations" value="true"/&gt;&lt;/prefs&gt;&lt;/data&gt;</vt:lpwstr>
  </property>
</Properties>
</file>